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106A969C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F05055">
        <w:rPr>
          <w:sz w:val="36"/>
          <w:szCs w:val="36"/>
        </w:rPr>
        <w:t>I</w:t>
      </w:r>
      <w:r w:rsidR="00F874F8">
        <w:rPr>
          <w:sz w:val="36"/>
          <w:szCs w:val="36"/>
        </w:rPr>
        <w:t>V</w:t>
      </w:r>
      <w:r w:rsidR="0005687A">
        <w:rPr>
          <w:sz w:val="36"/>
          <w:szCs w:val="36"/>
        </w:rPr>
        <w:t>° trimestre 20</w:t>
      </w:r>
      <w:r w:rsidR="00CE6D8D">
        <w:rPr>
          <w:sz w:val="36"/>
          <w:szCs w:val="36"/>
        </w:rPr>
        <w:t>24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0F7D1EA0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314FFF">
              <w:rPr>
                <w:rFonts w:ascii="Trebuchet MS" w:hAnsi="Trebuchet MS" w:cs="Arial"/>
              </w:rPr>
              <w:t>2</w:t>
            </w:r>
            <w:r w:rsidR="00CE6D8D">
              <w:rPr>
                <w:rFonts w:ascii="Trebuchet MS" w:hAnsi="Trebuchet MS" w:cs="Arial"/>
              </w:rPr>
              <w:t>.</w:t>
            </w:r>
            <w:r w:rsidR="003632A8">
              <w:rPr>
                <w:rFonts w:ascii="Trebuchet MS" w:hAnsi="Trebuchet MS" w:cs="Arial"/>
              </w:rPr>
              <w:t>506</w:t>
            </w:r>
            <w:r w:rsidR="00CE6D8D">
              <w:rPr>
                <w:rFonts w:ascii="Trebuchet MS" w:hAnsi="Trebuchet MS" w:cs="Arial"/>
              </w:rPr>
              <w:t>.</w:t>
            </w:r>
            <w:r w:rsidR="003632A8">
              <w:rPr>
                <w:rFonts w:ascii="Trebuchet MS" w:hAnsi="Trebuchet MS" w:cs="Arial"/>
              </w:rPr>
              <w:t>141,94</w:t>
            </w:r>
            <w:bookmarkStart w:id="0" w:name="_GoBack"/>
            <w:bookmarkEnd w:id="0"/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2753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703FB526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F874F8">
              <w:rPr>
                <w:rFonts w:ascii="Trebuchet MS" w:hAnsi="Trebuchet MS" w:cs="Arial"/>
              </w:rPr>
              <w:t>16,06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24810150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F874F8">
              <w:t xml:space="preserve"> nel corso del quarto</w:t>
            </w:r>
            <w:r w:rsidR="008C2405">
              <w:t xml:space="preserve"> trimestre del 202</w:t>
            </w:r>
            <w:r w:rsidR="00CE6D8D">
              <w:t>4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48780355" w14:textId="436596C7" w:rsidR="00EF1147" w:rsidRPr="00526C22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1610D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269FC"/>
    <w:rsid w:val="00232612"/>
    <w:rsid w:val="002448F2"/>
    <w:rsid w:val="002535D2"/>
    <w:rsid w:val="002A187F"/>
    <w:rsid w:val="002B556D"/>
    <w:rsid w:val="002C5804"/>
    <w:rsid w:val="002F6D33"/>
    <w:rsid w:val="00314FFF"/>
    <w:rsid w:val="0032019B"/>
    <w:rsid w:val="00337463"/>
    <w:rsid w:val="003632A8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76DEC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CE6D8D"/>
    <w:rsid w:val="00CF6C47"/>
    <w:rsid w:val="00D17489"/>
    <w:rsid w:val="00D44E3F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05055"/>
    <w:rsid w:val="00F25A93"/>
    <w:rsid w:val="00F31CA8"/>
    <w:rsid w:val="00F54FB7"/>
    <w:rsid w:val="00F55EE1"/>
    <w:rsid w:val="00F579A0"/>
    <w:rsid w:val="00F82AEC"/>
    <w:rsid w:val="00F87080"/>
    <w:rsid w:val="00F874F8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C8A3-C0A0-499C-825C-1D3004F7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40</cp:revision>
  <dcterms:created xsi:type="dcterms:W3CDTF">2020-06-24T17:35:00Z</dcterms:created>
  <dcterms:modified xsi:type="dcterms:W3CDTF">2025-01-17T12:35:00Z</dcterms:modified>
</cp:coreProperties>
</file>