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F4E9" w14:textId="77777777" w:rsidR="00737C80" w:rsidRPr="00EA2174" w:rsidRDefault="0008302A" w:rsidP="00D0754B">
      <w:pPr>
        <w:pStyle w:val="Nessunaspaziatura"/>
      </w:pPr>
      <w:r>
        <w:t xml:space="preserve"> </w:t>
      </w:r>
    </w:p>
    <w:p w14:paraId="774837C7" w14:textId="77777777" w:rsidR="00737C80" w:rsidRPr="00EA2174" w:rsidRDefault="00737C80">
      <w:pPr>
        <w:spacing w:before="120"/>
        <w:ind w:left="540" w:hanging="540"/>
      </w:pPr>
    </w:p>
    <w:p w14:paraId="2890C2C8" w14:textId="77777777" w:rsidR="00737C80" w:rsidRPr="00EA2174" w:rsidRDefault="002E7DEE">
      <w:pPr>
        <w:spacing w:after="200" w:line="276" w:lineRule="auto"/>
        <w:jc w:val="center"/>
        <w:rPr>
          <w:sz w:val="22"/>
          <w:szCs w:val="22"/>
        </w:rPr>
      </w:pPr>
      <w:bookmarkStart w:id="0" w:name="_gjdgxs" w:colFirst="0" w:colLast="0"/>
      <w:bookmarkEnd w:id="0"/>
      <w:r w:rsidRPr="00EA2174">
        <w:rPr>
          <w:noProof/>
          <w:sz w:val="22"/>
          <w:szCs w:val="22"/>
          <w:lang w:val="en-GB" w:eastAsia="en-GB"/>
        </w:rPr>
        <w:drawing>
          <wp:inline distT="0" distB="0" distL="0" distR="0" wp14:anchorId="60B770D7" wp14:editId="7870DA5E">
            <wp:extent cx="2105025" cy="1457325"/>
            <wp:effectExtent l="0" t="0" r="0" b="0"/>
            <wp:docPr id="1" name="image1.jpg" descr="LOGO CE_Vertical_EN"/>
            <wp:cNvGraphicFramePr/>
            <a:graphic xmlns:a="http://schemas.openxmlformats.org/drawingml/2006/main">
              <a:graphicData uri="http://schemas.openxmlformats.org/drawingml/2006/picture">
                <pic:pic xmlns:pic="http://schemas.openxmlformats.org/drawingml/2006/picture">
                  <pic:nvPicPr>
                    <pic:cNvPr id="0" name="image1.jpg" descr="LOGO CE_Vertical_EN"/>
                    <pic:cNvPicPr preferRelativeResize="0"/>
                  </pic:nvPicPr>
                  <pic:blipFill>
                    <a:blip r:embed="rId8"/>
                    <a:srcRect/>
                    <a:stretch>
                      <a:fillRect/>
                    </a:stretch>
                  </pic:blipFill>
                  <pic:spPr>
                    <a:xfrm>
                      <a:off x="0" y="0"/>
                      <a:ext cx="2105025" cy="1457325"/>
                    </a:xfrm>
                    <a:prstGeom prst="rect">
                      <a:avLst/>
                    </a:prstGeom>
                    <a:ln/>
                  </pic:spPr>
                </pic:pic>
              </a:graphicData>
            </a:graphic>
          </wp:inline>
        </w:drawing>
      </w:r>
    </w:p>
    <w:p w14:paraId="548D454D" w14:textId="77777777" w:rsidR="00737C80" w:rsidRPr="00EA2174" w:rsidRDefault="00737C80">
      <w:pPr>
        <w:tabs>
          <w:tab w:val="center" w:pos="4153"/>
          <w:tab w:val="right" w:pos="8306"/>
        </w:tabs>
        <w:ind w:left="-180"/>
        <w:jc w:val="center"/>
        <w:rPr>
          <w:color w:val="FF0000"/>
          <w:sz w:val="48"/>
          <w:szCs w:val="48"/>
        </w:rPr>
      </w:pPr>
    </w:p>
    <w:p w14:paraId="4AA88239" w14:textId="77777777" w:rsidR="00737C80" w:rsidRPr="00EA2174" w:rsidRDefault="00737C80">
      <w:pPr>
        <w:rPr>
          <w:color w:val="FF0000"/>
          <w:sz w:val="28"/>
          <w:szCs w:val="28"/>
        </w:rPr>
      </w:pPr>
    </w:p>
    <w:tbl>
      <w:tblPr>
        <w:tblStyle w:val="12"/>
        <w:tblW w:w="91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7"/>
        <w:gridCol w:w="5358"/>
      </w:tblGrid>
      <w:tr w:rsidR="00737C80" w:rsidRPr="00EA2174" w14:paraId="24C1DE9E" w14:textId="77777777">
        <w:trPr>
          <w:trHeight w:val="633"/>
        </w:trPr>
        <w:tc>
          <w:tcPr>
            <w:tcW w:w="9175" w:type="dxa"/>
            <w:gridSpan w:val="2"/>
            <w:tcBorders>
              <w:bottom w:val="single" w:sz="4" w:space="0" w:color="000000"/>
            </w:tcBorders>
            <w:shd w:val="clear" w:color="auto" w:fill="BDD7EE"/>
          </w:tcPr>
          <w:p w14:paraId="3D98AA16" w14:textId="77777777" w:rsidR="00737C80" w:rsidRPr="00EA2174" w:rsidRDefault="002E7DEE">
            <w:pPr>
              <w:pStyle w:val="Titolo"/>
              <w:spacing w:before="600" w:after="600"/>
              <w:jc w:val="center"/>
              <w:rPr>
                <w:rFonts w:ascii="Times New Roman" w:eastAsia="Times New Roman" w:hAnsi="Times New Roman" w:cs="Times New Roman"/>
                <w:b/>
                <w:sz w:val="32"/>
                <w:szCs w:val="32"/>
              </w:rPr>
            </w:pPr>
            <w:r w:rsidRPr="00EA2174">
              <w:rPr>
                <w:rFonts w:ascii="Times New Roman" w:eastAsia="Times New Roman" w:hAnsi="Times New Roman" w:cs="Times New Roman"/>
                <w:b/>
                <w:sz w:val="32"/>
                <w:szCs w:val="32"/>
              </w:rPr>
              <w:t>FICHE DE JUMELAGE - MAROC</w:t>
            </w:r>
          </w:p>
        </w:tc>
      </w:tr>
      <w:tr w:rsidR="00737C80" w:rsidRPr="00EA2174" w14:paraId="05F9A1D3" w14:textId="77777777" w:rsidTr="00E73BED">
        <w:trPr>
          <w:trHeight w:val="994"/>
        </w:trPr>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17F5" w14:textId="77777777" w:rsidR="00737C80" w:rsidRPr="00EA2174" w:rsidRDefault="002E7DEE" w:rsidP="00E73BED">
            <w:pPr>
              <w:spacing w:after="200" w:line="276" w:lineRule="auto"/>
              <w:jc w:val="center"/>
            </w:pPr>
            <w:r w:rsidRPr="00EA2174">
              <w:rPr>
                <w:b/>
              </w:rPr>
              <w:t>Intitulé du projet</w:t>
            </w:r>
          </w:p>
        </w:tc>
        <w:tc>
          <w:tcPr>
            <w:tcW w:w="5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1F38F" w14:textId="77777777" w:rsidR="00737C80" w:rsidRPr="00EA2174" w:rsidRDefault="00A524BA" w:rsidP="00A524BA">
            <w:pPr>
              <w:jc w:val="both"/>
            </w:pPr>
            <w:r>
              <w:t>Renforcement des capacités de l’Agence</w:t>
            </w:r>
            <w:r w:rsidR="00703D41" w:rsidRPr="00EA2174">
              <w:t xml:space="preserve"> Judiciaire du </w:t>
            </w:r>
            <w:r w:rsidR="008E1671" w:rsidRPr="00EA2174">
              <w:t>Royaume</w:t>
            </w:r>
            <w:r w:rsidR="00995240">
              <w:t xml:space="preserve"> (AJR)</w:t>
            </w:r>
            <w:r w:rsidR="00DC5141" w:rsidRPr="00EA2174">
              <w:t>.</w:t>
            </w:r>
          </w:p>
        </w:tc>
      </w:tr>
      <w:tr w:rsidR="00737C80" w:rsidRPr="00EA2174" w14:paraId="4816D2F0" w14:textId="77777777">
        <w:trPr>
          <w:trHeight w:val="633"/>
        </w:trPr>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1CC48" w14:textId="77777777" w:rsidR="00737C80" w:rsidRPr="00EA2174" w:rsidRDefault="002E7DEE" w:rsidP="00E73BED">
            <w:pPr>
              <w:spacing w:after="200" w:line="276" w:lineRule="auto"/>
              <w:jc w:val="center"/>
              <w:rPr>
                <w:u w:val="single"/>
              </w:rPr>
            </w:pPr>
            <w:r w:rsidRPr="00EA2174">
              <w:rPr>
                <w:b/>
              </w:rPr>
              <w:t>Administration bénéficiaire</w:t>
            </w:r>
          </w:p>
        </w:tc>
        <w:tc>
          <w:tcPr>
            <w:tcW w:w="5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BB94" w14:textId="77777777" w:rsidR="00737C80" w:rsidRPr="00EA2174" w:rsidRDefault="002E7DEE" w:rsidP="00C145A5">
            <w:pPr>
              <w:spacing w:after="200" w:line="276" w:lineRule="auto"/>
              <w:jc w:val="both"/>
            </w:pPr>
            <w:r w:rsidRPr="00EA2174">
              <w:t xml:space="preserve">Ministère </w:t>
            </w:r>
            <w:r w:rsidR="00C145A5" w:rsidRPr="00EA2174">
              <w:t>de l’Economie et des Finances – Agence Judicaire du Royaume du Maroc.</w:t>
            </w:r>
          </w:p>
        </w:tc>
      </w:tr>
      <w:tr w:rsidR="00737C80" w:rsidRPr="00EA2174" w14:paraId="1325041D" w14:textId="77777777">
        <w:trPr>
          <w:trHeight w:val="633"/>
        </w:trPr>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7278A" w14:textId="77777777" w:rsidR="00737C80" w:rsidRPr="00EA2174" w:rsidRDefault="002E7DEE" w:rsidP="00E73BED">
            <w:pPr>
              <w:spacing w:after="200" w:line="276" w:lineRule="auto"/>
              <w:jc w:val="center"/>
              <w:rPr>
                <w:b/>
              </w:rPr>
            </w:pPr>
            <w:r w:rsidRPr="00EA2174">
              <w:rPr>
                <w:b/>
              </w:rPr>
              <w:t>Référence du jumelage</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5DA4B79E" w14:textId="0E6ED436" w:rsidR="00737C80" w:rsidRPr="00EA2174" w:rsidRDefault="00A24909">
            <w:pPr>
              <w:spacing w:after="200" w:line="276" w:lineRule="auto"/>
              <w:rPr>
                <w:b/>
              </w:rPr>
            </w:pPr>
            <w:r>
              <w:rPr>
                <w:b/>
              </w:rPr>
              <w:t>MA 22 NDICI JH 03 25</w:t>
            </w:r>
          </w:p>
        </w:tc>
      </w:tr>
      <w:tr w:rsidR="00737C80" w:rsidRPr="00EA2174" w14:paraId="2660C3DD" w14:textId="77777777">
        <w:trPr>
          <w:trHeight w:val="633"/>
        </w:trPr>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8C9A" w14:textId="77777777" w:rsidR="00737C80" w:rsidRPr="00EA2174" w:rsidRDefault="002E7DEE" w:rsidP="00E73BED">
            <w:pPr>
              <w:spacing w:after="200" w:line="276" w:lineRule="auto"/>
              <w:jc w:val="center"/>
            </w:pPr>
            <w:r w:rsidRPr="00EA2174">
              <w:rPr>
                <w:b/>
              </w:rPr>
              <w:t>Référence de l’avis de publication</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51EDAF09" w14:textId="1C6D8275" w:rsidR="00737C80" w:rsidRPr="00D21EF0" w:rsidRDefault="00D21EF0" w:rsidP="00D21EF0">
            <w:pPr>
              <w:spacing w:after="200" w:line="276" w:lineRule="auto"/>
              <w:jc w:val="both"/>
              <w:rPr>
                <w:b/>
              </w:rPr>
            </w:pPr>
            <w:r>
              <w:t>184936</w:t>
            </w:r>
          </w:p>
        </w:tc>
      </w:tr>
    </w:tbl>
    <w:p w14:paraId="6946B5B9" w14:textId="77777777" w:rsidR="00737C80" w:rsidRPr="00EA2174" w:rsidRDefault="00737C80"/>
    <w:p w14:paraId="58B65C23" w14:textId="77777777" w:rsidR="00737C80" w:rsidRPr="00EA2174" w:rsidRDefault="00737C80"/>
    <w:p w14:paraId="66F99410" w14:textId="77777777" w:rsidR="00737C80" w:rsidRPr="00EA2174" w:rsidRDefault="00737C80"/>
    <w:tbl>
      <w:tblPr>
        <w:tblStyle w:val="11"/>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737C80" w:rsidRPr="00EA2174" w14:paraId="5C5A9C58" w14:textId="77777777">
        <w:tc>
          <w:tcPr>
            <w:tcW w:w="9214" w:type="dxa"/>
            <w:shd w:val="clear" w:color="auto" w:fill="auto"/>
          </w:tcPr>
          <w:p w14:paraId="0FB2127E" w14:textId="77777777" w:rsidR="00737C80" w:rsidRDefault="002E7DEE">
            <w:pPr>
              <w:spacing w:after="200" w:line="276" w:lineRule="auto"/>
              <w:jc w:val="center"/>
              <w:rPr>
                <w:b/>
                <w:sz w:val="32"/>
                <w:szCs w:val="32"/>
              </w:rPr>
            </w:pPr>
            <w:r w:rsidRPr="00EA2174">
              <w:rPr>
                <w:b/>
                <w:sz w:val="32"/>
                <w:szCs w:val="32"/>
              </w:rPr>
              <w:t>Projet financé par l’Union européenne</w:t>
            </w:r>
          </w:p>
          <w:p w14:paraId="3D7C15BC" w14:textId="77777777" w:rsidR="00E930C3" w:rsidRPr="00EA2174" w:rsidRDefault="00E930C3">
            <w:pPr>
              <w:spacing w:after="200" w:line="276" w:lineRule="auto"/>
              <w:jc w:val="center"/>
              <w:rPr>
                <w:b/>
                <w:sz w:val="32"/>
                <w:szCs w:val="32"/>
              </w:rPr>
            </w:pPr>
            <w:r>
              <w:rPr>
                <w:b/>
                <w:sz w:val="32"/>
                <w:szCs w:val="32"/>
              </w:rPr>
              <w:t>OUTIL DE JUMELAGE</w:t>
            </w:r>
          </w:p>
        </w:tc>
      </w:tr>
    </w:tbl>
    <w:p w14:paraId="1B2CCE03" w14:textId="77777777" w:rsidR="00737C80" w:rsidRPr="00EA2174" w:rsidRDefault="00737C80">
      <w:pPr>
        <w:spacing w:after="200" w:line="276" w:lineRule="auto"/>
      </w:pPr>
    </w:p>
    <w:p w14:paraId="20E80E1A" w14:textId="77777777" w:rsidR="00737C80" w:rsidRPr="00EA2174" w:rsidRDefault="002E7DEE">
      <w:pPr>
        <w:spacing w:after="120"/>
      </w:pPr>
      <w:r w:rsidRPr="00EA2174">
        <w:br w:type="page"/>
      </w:r>
    </w:p>
    <w:p w14:paraId="0171BA17" w14:textId="77777777" w:rsidR="00737C80" w:rsidRPr="00EA2174" w:rsidRDefault="002E7DEE" w:rsidP="001555DF">
      <w:pPr>
        <w:keepNext/>
        <w:keepLines/>
        <w:pBdr>
          <w:top w:val="nil"/>
          <w:left w:val="nil"/>
          <w:bottom w:val="nil"/>
          <w:right w:val="nil"/>
          <w:between w:val="nil"/>
        </w:pBdr>
        <w:spacing w:before="240" w:line="259" w:lineRule="auto"/>
        <w:ind w:left="432" w:hanging="432"/>
        <w:jc w:val="center"/>
        <w:rPr>
          <w:b/>
          <w:caps/>
          <w:color w:val="000000"/>
        </w:rPr>
      </w:pPr>
      <w:r w:rsidRPr="00EA2174">
        <w:rPr>
          <w:b/>
          <w:caps/>
          <w:color w:val="000000"/>
        </w:rPr>
        <w:lastRenderedPageBreak/>
        <w:t>Table des matières</w:t>
      </w:r>
    </w:p>
    <w:p w14:paraId="02FCB224" w14:textId="77777777" w:rsidR="00737C80" w:rsidRPr="00EA2174" w:rsidRDefault="00737C80">
      <w:pPr>
        <w:rPr>
          <w:sz w:val="22"/>
          <w:szCs w:val="22"/>
        </w:rPr>
      </w:pPr>
    </w:p>
    <w:sdt>
      <w:sdtPr>
        <w:id w:val="1029148777"/>
        <w:docPartObj>
          <w:docPartGallery w:val="Table of Contents"/>
          <w:docPartUnique/>
        </w:docPartObj>
      </w:sdtPr>
      <w:sdtContent>
        <w:p w14:paraId="271C3439" w14:textId="77777777" w:rsidR="00AA5A4C" w:rsidRDefault="002E7DEE">
          <w:pPr>
            <w:pStyle w:val="Sommario1"/>
            <w:tabs>
              <w:tab w:val="left" w:pos="480"/>
              <w:tab w:val="right" w:pos="9062"/>
            </w:tabs>
            <w:rPr>
              <w:rFonts w:asciiTheme="minorHAnsi" w:eastAsiaTheme="minorEastAsia" w:hAnsiTheme="minorHAnsi" w:cstheme="minorBidi"/>
              <w:noProof/>
              <w:sz w:val="22"/>
              <w:szCs w:val="22"/>
            </w:rPr>
          </w:pPr>
          <w:r w:rsidRPr="00EA2174">
            <w:fldChar w:fldCharType="begin"/>
          </w:r>
          <w:r w:rsidRPr="00EA2174">
            <w:instrText xml:space="preserve"> TOC \h \u \z </w:instrText>
          </w:r>
          <w:r w:rsidRPr="00EA2174">
            <w:fldChar w:fldCharType="separate"/>
          </w:r>
          <w:hyperlink w:anchor="_Toc200114660" w:history="1">
            <w:r w:rsidR="00AA5A4C" w:rsidRPr="00791754">
              <w:rPr>
                <w:rStyle w:val="Collegamentoipertestuale"/>
                <w:noProof/>
              </w:rPr>
              <w:t>1</w:t>
            </w:r>
            <w:r w:rsidR="00AA5A4C">
              <w:rPr>
                <w:rFonts w:asciiTheme="minorHAnsi" w:eastAsiaTheme="minorEastAsia" w:hAnsiTheme="minorHAnsi" w:cstheme="minorBidi"/>
                <w:noProof/>
                <w:sz w:val="22"/>
                <w:szCs w:val="22"/>
              </w:rPr>
              <w:tab/>
            </w:r>
            <w:r w:rsidR="00AA5A4C" w:rsidRPr="00791754">
              <w:rPr>
                <w:rStyle w:val="Collegamentoipertestuale"/>
                <w:noProof/>
              </w:rPr>
              <w:t>Informations de base</w:t>
            </w:r>
            <w:r w:rsidR="00AA5A4C">
              <w:rPr>
                <w:noProof/>
                <w:webHidden/>
              </w:rPr>
              <w:tab/>
            </w:r>
            <w:r w:rsidR="00AA5A4C">
              <w:rPr>
                <w:noProof/>
                <w:webHidden/>
              </w:rPr>
              <w:fldChar w:fldCharType="begin"/>
            </w:r>
            <w:r w:rsidR="00AA5A4C">
              <w:rPr>
                <w:noProof/>
                <w:webHidden/>
              </w:rPr>
              <w:instrText xml:space="preserve"> PAGEREF _Toc200114660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000C470D"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1" w:history="1">
            <w:r w:rsidR="00AA5A4C" w:rsidRPr="00791754">
              <w:rPr>
                <w:rStyle w:val="Collegamentoipertestuale"/>
                <w:noProof/>
              </w:rPr>
              <w:t>1.1</w:t>
            </w:r>
            <w:r w:rsidR="00AA5A4C">
              <w:rPr>
                <w:rFonts w:asciiTheme="minorHAnsi" w:eastAsiaTheme="minorEastAsia" w:hAnsiTheme="minorHAnsi" w:cstheme="minorBidi"/>
                <w:noProof/>
                <w:sz w:val="22"/>
                <w:szCs w:val="22"/>
              </w:rPr>
              <w:tab/>
            </w:r>
            <w:r w:rsidR="00AA5A4C" w:rsidRPr="00791754">
              <w:rPr>
                <w:rStyle w:val="Collegamentoipertestuale"/>
                <w:noProof/>
              </w:rPr>
              <w:t>Programme</w:t>
            </w:r>
            <w:r w:rsidR="00AA5A4C">
              <w:rPr>
                <w:noProof/>
                <w:webHidden/>
              </w:rPr>
              <w:tab/>
            </w:r>
            <w:r w:rsidR="00AA5A4C">
              <w:rPr>
                <w:noProof/>
                <w:webHidden/>
              </w:rPr>
              <w:fldChar w:fldCharType="begin"/>
            </w:r>
            <w:r w:rsidR="00AA5A4C">
              <w:rPr>
                <w:noProof/>
                <w:webHidden/>
              </w:rPr>
              <w:instrText xml:space="preserve"> PAGEREF _Toc200114661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720E771D"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2" w:history="1">
            <w:r w:rsidR="00AA5A4C" w:rsidRPr="00791754">
              <w:rPr>
                <w:rStyle w:val="Collegamentoipertestuale"/>
                <w:noProof/>
              </w:rPr>
              <w:t>1.2</w:t>
            </w:r>
            <w:r w:rsidR="00AA5A4C">
              <w:rPr>
                <w:rFonts w:asciiTheme="minorHAnsi" w:eastAsiaTheme="minorEastAsia" w:hAnsiTheme="minorHAnsi" w:cstheme="minorBidi"/>
                <w:noProof/>
                <w:sz w:val="22"/>
                <w:szCs w:val="22"/>
              </w:rPr>
              <w:tab/>
            </w:r>
            <w:r w:rsidR="00AA5A4C" w:rsidRPr="00791754">
              <w:rPr>
                <w:rStyle w:val="Collegamentoipertestuale"/>
                <w:noProof/>
              </w:rPr>
              <w:t>Secteur de jumelage</w:t>
            </w:r>
            <w:r w:rsidR="00AA5A4C">
              <w:rPr>
                <w:noProof/>
                <w:webHidden/>
              </w:rPr>
              <w:tab/>
            </w:r>
            <w:r w:rsidR="00AA5A4C">
              <w:rPr>
                <w:noProof/>
                <w:webHidden/>
              </w:rPr>
              <w:fldChar w:fldCharType="begin"/>
            </w:r>
            <w:r w:rsidR="00AA5A4C">
              <w:rPr>
                <w:noProof/>
                <w:webHidden/>
              </w:rPr>
              <w:instrText xml:space="preserve"> PAGEREF _Toc200114662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2FFC98FC"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3" w:history="1">
            <w:r w:rsidR="00AA5A4C" w:rsidRPr="00791754">
              <w:rPr>
                <w:rStyle w:val="Collegamentoipertestuale"/>
                <w:noProof/>
              </w:rPr>
              <w:t>1.3</w:t>
            </w:r>
            <w:r w:rsidR="00AA5A4C">
              <w:rPr>
                <w:rFonts w:asciiTheme="minorHAnsi" w:eastAsiaTheme="minorEastAsia" w:hAnsiTheme="minorHAnsi" w:cstheme="minorBidi"/>
                <w:noProof/>
                <w:sz w:val="22"/>
                <w:szCs w:val="22"/>
              </w:rPr>
              <w:tab/>
            </w:r>
            <w:r w:rsidR="00AA5A4C" w:rsidRPr="00791754">
              <w:rPr>
                <w:rStyle w:val="Collegamentoipertestuale"/>
                <w:noProof/>
              </w:rPr>
              <w:t>Budget financé par l’UE</w:t>
            </w:r>
            <w:r w:rsidR="00AA5A4C">
              <w:rPr>
                <w:noProof/>
                <w:webHidden/>
              </w:rPr>
              <w:tab/>
            </w:r>
            <w:r w:rsidR="00AA5A4C">
              <w:rPr>
                <w:noProof/>
                <w:webHidden/>
              </w:rPr>
              <w:fldChar w:fldCharType="begin"/>
            </w:r>
            <w:r w:rsidR="00AA5A4C">
              <w:rPr>
                <w:noProof/>
                <w:webHidden/>
              </w:rPr>
              <w:instrText xml:space="preserve"> PAGEREF _Toc200114663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0885CFFF"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4" w:history="1">
            <w:r w:rsidR="00AA5A4C" w:rsidRPr="00791754">
              <w:rPr>
                <w:rStyle w:val="Collegamentoipertestuale"/>
                <w:noProof/>
              </w:rPr>
              <w:t>1.4</w:t>
            </w:r>
            <w:r w:rsidR="00AA5A4C">
              <w:rPr>
                <w:rFonts w:asciiTheme="minorHAnsi" w:eastAsiaTheme="minorEastAsia" w:hAnsiTheme="minorHAnsi" w:cstheme="minorBidi"/>
                <w:noProof/>
                <w:sz w:val="22"/>
                <w:szCs w:val="22"/>
              </w:rPr>
              <w:tab/>
            </w:r>
            <w:r w:rsidR="00AA5A4C" w:rsidRPr="00791754">
              <w:rPr>
                <w:rStyle w:val="Collegamentoipertestuale"/>
                <w:noProof/>
              </w:rPr>
              <w:t>Objectifs de développement durable (ODD)</w:t>
            </w:r>
            <w:r w:rsidR="00AA5A4C">
              <w:rPr>
                <w:noProof/>
                <w:webHidden/>
              </w:rPr>
              <w:tab/>
            </w:r>
            <w:r w:rsidR="00AA5A4C">
              <w:rPr>
                <w:noProof/>
                <w:webHidden/>
              </w:rPr>
              <w:fldChar w:fldCharType="begin"/>
            </w:r>
            <w:r w:rsidR="00AA5A4C">
              <w:rPr>
                <w:noProof/>
                <w:webHidden/>
              </w:rPr>
              <w:instrText xml:space="preserve"> PAGEREF _Toc200114664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108911F4"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65" w:history="1">
            <w:r w:rsidR="00AA5A4C" w:rsidRPr="00791754">
              <w:rPr>
                <w:rStyle w:val="Collegamentoipertestuale"/>
                <w:noProof/>
              </w:rPr>
              <w:t>2</w:t>
            </w:r>
            <w:r w:rsidR="00AA5A4C">
              <w:rPr>
                <w:rFonts w:asciiTheme="minorHAnsi" w:eastAsiaTheme="minorEastAsia" w:hAnsiTheme="minorHAnsi" w:cstheme="minorBidi"/>
                <w:noProof/>
                <w:sz w:val="22"/>
                <w:szCs w:val="22"/>
              </w:rPr>
              <w:tab/>
            </w:r>
            <w:r w:rsidR="00AA5A4C" w:rsidRPr="00791754">
              <w:rPr>
                <w:rStyle w:val="Collegamentoipertestuale"/>
                <w:noProof/>
              </w:rPr>
              <w:t>Objectifs</w:t>
            </w:r>
            <w:r w:rsidR="00AA5A4C">
              <w:rPr>
                <w:noProof/>
                <w:webHidden/>
              </w:rPr>
              <w:tab/>
            </w:r>
            <w:r w:rsidR="00AA5A4C">
              <w:rPr>
                <w:noProof/>
                <w:webHidden/>
              </w:rPr>
              <w:fldChar w:fldCharType="begin"/>
            </w:r>
            <w:r w:rsidR="00AA5A4C">
              <w:rPr>
                <w:noProof/>
                <w:webHidden/>
              </w:rPr>
              <w:instrText xml:space="preserve"> PAGEREF _Toc200114665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75826679"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6" w:history="1">
            <w:r w:rsidR="00AA5A4C" w:rsidRPr="00791754">
              <w:rPr>
                <w:rStyle w:val="Collegamentoipertestuale"/>
                <w:noProof/>
              </w:rPr>
              <w:t>2.1</w:t>
            </w:r>
            <w:r w:rsidR="00AA5A4C">
              <w:rPr>
                <w:rFonts w:asciiTheme="minorHAnsi" w:eastAsiaTheme="minorEastAsia" w:hAnsiTheme="minorHAnsi" w:cstheme="minorBidi"/>
                <w:noProof/>
                <w:sz w:val="22"/>
                <w:szCs w:val="22"/>
              </w:rPr>
              <w:tab/>
            </w:r>
            <w:r w:rsidR="00AA5A4C" w:rsidRPr="00791754">
              <w:rPr>
                <w:rStyle w:val="Collegamentoipertestuale"/>
                <w:noProof/>
              </w:rPr>
              <w:t>Objectif général</w:t>
            </w:r>
            <w:r w:rsidR="00AA5A4C">
              <w:rPr>
                <w:noProof/>
                <w:webHidden/>
              </w:rPr>
              <w:tab/>
            </w:r>
            <w:r w:rsidR="00AA5A4C">
              <w:rPr>
                <w:noProof/>
                <w:webHidden/>
              </w:rPr>
              <w:fldChar w:fldCharType="begin"/>
            </w:r>
            <w:r w:rsidR="00AA5A4C">
              <w:rPr>
                <w:noProof/>
                <w:webHidden/>
              </w:rPr>
              <w:instrText xml:space="preserve"> PAGEREF _Toc200114666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26A22FF0"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7" w:history="1">
            <w:r w:rsidR="00AA5A4C" w:rsidRPr="00791754">
              <w:rPr>
                <w:rStyle w:val="Collegamentoipertestuale"/>
                <w:noProof/>
              </w:rPr>
              <w:t>2.2</w:t>
            </w:r>
            <w:r w:rsidR="00AA5A4C">
              <w:rPr>
                <w:rFonts w:asciiTheme="minorHAnsi" w:eastAsiaTheme="minorEastAsia" w:hAnsiTheme="minorHAnsi" w:cstheme="minorBidi"/>
                <w:noProof/>
                <w:sz w:val="22"/>
                <w:szCs w:val="22"/>
              </w:rPr>
              <w:tab/>
            </w:r>
            <w:r w:rsidR="00AA5A4C" w:rsidRPr="00791754">
              <w:rPr>
                <w:rStyle w:val="Collegamentoipertestuale"/>
                <w:noProof/>
              </w:rPr>
              <w:t>Objectifs spécifiques</w:t>
            </w:r>
            <w:r w:rsidR="00AA5A4C">
              <w:rPr>
                <w:noProof/>
                <w:webHidden/>
              </w:rPr>
              <w:tab/>
            </w:r>
            <w:r w:rsidR="00AA5A4C">
              <w:rPr>
                <w:noProof/>
                <w:webHidden/>
              </w:rPr>
              <w:fldChar w:fldCharType="begin"/>
            </w:r>
            <w:r w:rsidR="00AA5A4C">
              <w:rPr>
                <w:noProof/>
                <w:webHidden/>
              </w:rPr>
              <w:instrText xml:space="preserve"> PAGEREF _Toc200114667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3715C6F5"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68" w:history="1">
            <w:r w:rsidR="00AA5A4C" w:rsidRPr="00791754">
              <w:rPr>
                <w:rStyle w:val="Collegamentoipertestuale"/>
                <w:noProof/>
              </w:rPr>
              <w:t>2.3</w:t>
            </w:r>
            <w:r w:rsidR="00AA5A4C">
              <w:rPr>
                <w:rFonts w:asciiTheme="minorHAnsi" w:eastAsiaTheme="minorEastAsia" w:hAnsiTheme="minorHAnsi" w:cstheme="minorBidi"/>
                <w:noProof/>
                <w:sz w:val="22"/>
                <w:szCs w:val="22"/>
              </w:rPr>
              <w:tab/>
            </w:r>
            <w:r w:rsidR="00AA5A4C" w:rsidRPr="00791754">
              <w:rPr>
                <w:rStyle w:val="Collegamentoipertestuale"/>
                <w:noProof/>
              </w:rPr>
              <w:t>Cadre d’alignement et coopèration</w:t>
            </w:r>
            <w:r w:rsidR="00AA5A4C">
              <w:rPr>
                <w:noProof/>
                <w:webHidden/>
              </w:rPr>
              <w:tab/>
            </w:r>
            <w:r w:rsidR="00AA5A4C">
              <w:rPr>
                <w:noProof/>
                <w:webHidden/>
              </w:rPr>
              <w:fldChar w:fldCharType="begin"/>
            </w:r>
            <w:r w:rsidR="00AA5A4C">
              <w:rPr>
                <w:noProof/>
                <w:webHidden/>
              </w:rPr>
              <w:instrText xml:space="preserve"> PAGEREF _Toc200114668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597E6464" w14:textId="77777777" w:rsidR="00AA5A4C" w:rsidRDefault="00000000">
          <w:pPr>
            <w:pStyle w:val="Sommario3"/>
            <w:tabs>
              <w:tab w:val="right" w:pos="9062"/>
            </w:tabs>
            <w:rPr>
              <w:rFonts w:asciiTheme="minorHAnsi" w:eastAsiaTheme="minorEastAsia" w:hAnsiTheme="minorHAnsi" w:cstheme="minorBidi"/>
              <w:noProof/>
              <w:sz w:val="22"/>
              <w:szCs w:val="22"/>
            </w:rPr>
          </w:pPr>
          <w:hyperlink w:anchor="_Toc200114669" w:history="1">
            <w:r w:rsidR="00AA5A4C" w:rsidRPr="00791754">
              <w:rPr>
                <w:rStyle w:val="Collegamentoipertestuale"/>
                <w:noProof/>
              </w:rPr>
              <w:t>Contribution au plan national de développement.</w:t>
            </w:r>
            <w:r w:rsidR="00AA5A4C">
              <w:rPr>
                <w:noProof/>
                <w:webHidden/>
              </w:rPr>
              <w:tab/>
            </w:r>
            <w:r w:rsidR="00AA5A4C">
              <w:rPr>
                <w:noProof/>
                <w:webHidden/>
              </w:rPr>
              <w:fldChar w:fldCharType="begin"/>
            </w:r>
            <w:r w:rsidR="00AA5A4C">
              <w:rPr>
                <w:noProof/>
                <w:webHidden/>
              </w:rPr>
              <w:instrText xml:space="preserve"> PAGEREF _Toc200114669 \h </w:instrText>
            </w:r>
            <w:r w:rsidR="00AA5A4C">
              <w:rPr>
                <w:noProof/>
                <w:webHidden/>
              </w:rPr>
            </w:r>
            <w:r w:rsidR="00AA5A4C">
              <w:rPr>
                <w:noProof/>
                <w:webHidden/>
              </w:rPr>
              <w:fldChar w:fldCharType="separate"/>
            </w:r>
            <w:r w:rsidR="00AA5A4C">
              <w:rPr>
                <w:noProof/>
                <w:webHidden/>
              </w:rPr>
              <w:t>5</w:t>
            </w:r>
            <w:r w:rsidR="00AA5A4C">
              <w:rPr>
                <w:noProof/>
                <w:webHidden/>
              </w:rPr>
              <w:fldChar w:fldCharType="end"/>
            </w:r>
          </w:hyperlink>
        </w:p>
        <w:p w14:paraId="60DE43CA"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70" w:history="1">
            <w:r w:rsidR="00AA5A4C" w:rsidRPr="00791754">
              <w:rPr>
                <w:rStyle w:val="Collegamentoipertestuale"/>
                <w:noProof/>
              </w:rPr>
              <w:t>3</w:t>
            </w:r>
            <w:r w:rsidR="00AA5A4C">
              <w:rPr>
                <w:rFonts w:asciiTheme="minorHAnsi" w:eastAsiaTheme="minorEastAsia" w:hAnsiTheme="minorHAnsi" w:cstheme="minorBidi"/>
                <w:noProof/>
                <w:sz w:val="22"/>
                <w:szCs w:val="22"/>
              </w:rPr>
              <w:tab/>
            </w:r>
            <w:r w:rsidR="00AA5A4C" w:rsidRPr="00791754">
              <w:rPr>
                <w:rStyle w:val="Collegamentoipertestuale"/>
                <w:noProof/>
              </w:rPr>
              <w:t>Description</w:t>
            </w:r>
            <w:r w:rsidR="00AA5A4C">
              <w:rPr>
                <w:noProof/>
                <w:webHidden/>
              </w:rPr>
              <w:tab/>
            </w:r>
            <w:r w:rsidR="00AA5A4C">
              <w:rPr>
                <w:noProof/>
                <w:webHidden/>
              </w:rPr>
              <w:fldChar w:fldCharType="begin"/>
            </w:r>
            <w:r w:rsidR="00AA5A4C">
              <w:rPr>
                <w:noProof/>
                <w:webHidden/>
              </w:rPr>
              <w:instrText xml:space="preserve"> PAGEREF _Toc200114670 \h </w:instrText>
            </w:r>
            <w:r w:rsidR="00AA5A4C">
              <w:rPr>
                <w:noProof/>
                <w:webHidden/>
              </w:rPr>
            </w:r>
            <w:r w:rsidR="00AA5A4C">
              <w:rPr>
                <w:noProof/>
                <w:webHidden/>
              </w:rPr>
              <w:fldChar w:fldCharType="separate"/>
            </w:r>
            <w:r w:rsidR="00AA5A4C">
              <w:rPr>
                <w:noProof/>
                <w:webHidden/>
              </w:rPr>
              <w:t>6</w:t>
            </w:r>
            <w:r w:rsidR="00AA5A4C">
              <w:rPr>
                <w:noProof/>
                <w:webHidden/>
              </w:rPr>
              <w:fldChar w:fldCharType="end"/>
            </w:r>
          </w:hyperlink>
        </w:p>
        <w:p w14:paraId="49DB9910"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71" w:history="1">
            <w:r w:rsidR="00AA5A4C" w:rsidRPr="00791754">
              <w:rPr>
                <w:rStyle w:val="Collegamentoipertestuale"/>
                <w:noProof/>
              </w:rPr>
              <w:t>3.1</w:t>
            </w:r>
            <w:r w:rsidR="00AA5A4C">
              <w:rPr>
                <w:rFonts w:asciiTheme="minorHAnsi" w:eastAsiaTheme="minorEastAsia" w:hAnsiTheme="minorHAnsi" w:cstheme="minorBidi"/>
                <w:noProof/>
                <w:sz w:val="22"/>
                <w:szCs w:val="22"/>
              </w:rPr>
              <w:tab/>
            </w:r>
            <w:r w:rsidR="00AA5A4C" w:rsidRPr="00791754">
              <w:rPr>
                <w:rStyle w:val="Collegamentoipertestuale"/>
                <w:noProof/>
              </w:rPr>
              <w:t>Contexte et justification</w:t>
            </w:r>
            <w:r w:rsidR="00AA5A4C">
              <w:rPr>
                <w:noProof/>
                <w:webHidden/>
              </w:rPr>
              <w:tab/>
            </w:r>
            <w:r w:rsidR="00AA5A4C">
              <w:rPr>
                <w:noProof/>
                <w:webHidden/>
              </w:rPr>
              <w:fldChar w:fldCharType="begin"/>
            </w:r>
            <w:r w:rsidR="00AA5A4C">
              <w:rPr>
                <w:noProof/>
                <w:webHidden/>
              </w:rPr>
              <w:instrText xml:space="preserve"> PAGEREF _Toc200114671 \h </w:instrText>
            </w:r>
            <w:r w:rsidR="00AA5A4C">
              <w:rPr>
                <w:noProof/>
                <w:webHidden/>
              </w:rPr>
            </w:r>
            <w:r w:rsidR="00AA5A4C">
              <w:rPr>
                <w:noProof/>
                <w:webHidden/>
              </w:rPr>
              <w:fldChar w:fldCharType="separate"/>
            </w:r>
            <w:r w:rsidR="00AA5A4C">
              <w:rPr>
                <w:noProof/>
                <w:webHidden/>
              </w:rPr>
              <w:t>6</w:t>
            </w:r>
            <w:r w:rsidR="00AA5A4C">
              <w:rPr>
                <w:noProof/>
                <w:webHidden/>
              </w:rPr>
              <w:fldChar w:fldCharType="end"/>
            </w:r>
          </w:hyperlink>
        </w:p>
        <w:p w14:paraId="088BDE3F"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72" w:history="1">
            <w:r w:rsidR="00AA5A4C" w:rsidRPr="00791754">
              <w:rPr>
                <w:rStyle w:val="Collegamentoipertestuale"/>
                <w:noProof/>
              </w:rPr>
              <w:t>3.2</w:t>
            </w:r>
            <w:r w:rsidR="00AA5A4C">
              <w:rPr>
                <w:rFonts w:asciiTheme="minorHAnsi" w:eastAsiaTheme="minorEastAsia" w:hAnsiTheme="minorHAnsi" w:cstheme="minorBidi"/>
                <w:noProof/>
                <w:sz w:val="22"/>
                <w:szCs w:val="22"/>
              </w:rPr>
              <w:tab/>
            </w:r>
            <w:r w:rsidR="00AA5A4C" w:rsidRPr="00791754">
              <w:rPr>
                <w:rStyle w:val="Collegamentoipertestuale"/>
                <w:noProof/>
              </w:rPr>
              <w:t>Réformes en cours</w:t>
            </w:r>
            <w:r w:rsidR="00AA5A4C">
              <w:rPr>
                <w:noProof/>
                <w:webHidden/>
              </w:rPr>
              <w:tab/>
            </w:r>
            <w:r w:rsidR="00AA5A4C">
              <w:rPr>
                <w:noProof/>
                <w:webHidden/>
              </w:rPr>
              <w:fldChar w:fldCharType="begin"/>
            </w:r>
            <w:r w:rsidR="00AA5A4C">
              <w:rPr>
                <w:noProof/>
                <w:webHidden/>
              </w:rPr>
              <w:instrText xml:space="preserve"> PAGEREF _Toc200114672 \h </w:instrText>
            </w:r>
            <w:r w:rsidR="00AA5A4C">
              <w:rPr>
                <w:noProof/>
                <w:webHidden/>
              </w:rPr>
            </w:r>
            <w:r w:rsidR="00AA5A4C">
              <w:rPr>
                <w:noProof/>
                <w:webHidden/>
              </w:rPr>
              <w:fldChar w:fldCharType="separate"/>
            </w:r>
            <w:r w:rsidR="00AA5A4C">
              <w:rPr>
                <w:noProof/>
                <w:webHidden/>
              </w:rPr>
              <w:t>11</w:t>
            </w:r>
            <w:r w:rsidR="00AA5A4C">
              <w:rPr>
                <w:noProof/>
                <w:webHidden/>
              </w:rPr>
              <w:fldChar w:fldCharType="end"/>
            </w:r>
          </w:hyperlink>
        </w:p>
        <w:p w14:paraId="78D9CBC8"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73" w:history="1">
            <w:r w:rsidR="00AA5A4C" w:rsidRPr="00791754">
              <w:rPr>
                <w:rStyle w:val="Collegamentoipertestuale"/>
                <w:noProof/>
              </w:rPr>
              <w:t>3.3</w:t>
            </w:r>
            <w:r w:rsidR="00AA5A4C">
              <w:rPr>
                <w:rFonts w:asciiTheme="minorHAnsi" w:eastAsiaTheme="minorEastAsia" w:hAnsiTheme="minorHAnsi" w:cstheme="minorBidi"/>
                <w:noProof/>
                <w:sz w:val="22"/>
                <w:szCs w:val="22"/>
              </w:rPr>
              <w:tab/>
            </w:r>
            <w:r w:rsidR="00AA5A4C" w:rsidRPr="00791754">
              <w:rPr>
                <w:rStyle w:val="Collegamentoipertestuale"/>
                <w:noProof/>
              </w:rPr>
              <w:t>Activités connexes</w:t>
            </w:r>
            <w:r w:rsidR="00AA5A4C">
              <w:rPr>
                <w:noProof/>
                <w:webHidden/>
              </w:rPr>
              <w:tab/>
            </w:r>
            <w:r w:rsidR="00AA5A4C">
              <w:rPr>
                <w:noProof/>
                <w:webHidden/>
              </w:rPr>
              <w:fldChar w:fldCharType="begin"/>
            </w:r>
            <w:r w:rsidR="00AA5A4C">
              <w:rPr>
                <w:noProof/>
                <w:webHidden/>
              </w:rPr>
              <w:instrText xml:space="preserve"> PAGEREF _Toc200114673 \h </w:instrText>
            </w:r>
            <w:r w:rsidR="00AA5A4C">
              <w:rPr>
                <w:noProof/>
                <w:webHidden/>
              </w:rPr>
            </w:r>
            <w:r w:rsidR="00AA5A4C">
              <w:rPr>
                <w:noProof/>
                <w:webHidden/>
              </w:rPr>
              <w:fldChar w:fldCharType="separate"/>
            </w:r>
            <w:r w:rsidR="00AA5A4C">
              <w:rPr>
                <w:noProof/>
                <w:webHidden/>
              </w:rPr>
              <w:t>12</w:t>
            </w:r>
            <w:r w:rsidR="00AA5A4C">
              <w:rPr>
                <w:noProof/>
                <w:webHidden/>
              </w:rPr>
              <w:fldChar w:fldCharType="end"/>
            </w:r>
          </w:hyperlink>
        </w:p>
        <w:p w14:paraId="566BC100"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74" w:history="1">
            <w:r w:rsidR="00AA5A4C" w:rsidRPr="00791754">
              <w:rPr>
                <w:rStyle w:val="Collegamentoipertestuale"/>
                <w:noProof/>
              </w:rPr>
              <w:t>3.4</w:t>
            </w:r>
            <w:r w:rsidR="00AA5A4C">
              <w:rPr>
                <w:rFonts w:asciiTheme="minorHAnsi" w:eastAsiaTheme="minorEastAsia" w:hAnsiTheme="minorHAnsi" w:cstheme="minorBidi"/>
                <w:noProof/>
                <w:sz w:val="22"/>
                <w:szCs w:val="22"/>
              </w:rPr>
              <w:tab/>
            </w:r>
            <w:r w:rsidR="00AA5A4C" w:rsidRPr="00791754">
              <w:rPr>
                <w:rStyle w:val="Collegamentoipertestuale"/>
                <w:noProof/>
              </w:rPr>
              <w:t>Liste des disposition de l’acquis de l’UE/des normes applicables :</w:t>
            </w:r>
            <w:r w:rsidR="00AA5A4C">
              <w:rPr>
                <w:noProof/>
                <w:webHidden/>
              </w:rPr>
              <w:tab/>
            </w:r>
            <w:r w:rsidR="00AA5A4C">
              <w:rPr>
                <w:noProof/>
                <w:webHidden/>
              </w:rPr>
              <w:fldChar w:fldCharType="begin"/>
            </w:r>
            <w:r w:rsidR="00AA5A4C">
              <w:rPr>
                <w:noProof/>
                <w:webHidden/>
              </w:rPr>
              <w:instrText xml:space="preserve"> PAGEREF _Toc200114674 \h </w:instrText>
            </w:r>
            <w:r w:rsidR="00AA5A4C">
              <w:rPr>
                <w:noProof/>
                <w:webHidden/>
              </w:rPr>
            </w:r>
            <w:r w:rsidR="00AA5A4C">
              <w:rPr>
                <w:noProof/>
                <w:webHidden/>
              </w:rPr>
              <w:fldChar w:fldCharType="separate"/>
            </w:r>
            <w:r w:rsidR="00AA5A4C">
              <w:rPr>
                <w:noProof/>
                <w:webHidden/>
              </w:rPr>
              <w:t>13</w:t>
            </w:r>
            <w:r w:rsidR="00AA5A4C">
              <w:rPr>
                <w:noProof/>
                <w:webHidden/>
              </w:rPr>
              <w:fldChar w:fldCharType="end"/>
            </w:r>
          </w:hyperlink>
        </w:p>
        <w:p w14:paraId="7ED7F4E3"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75" w:history="1">
            <w:r w:rsidR="00AA5A4C" w:rsidRPr="00791754">
              <w:rPr>
                <w:rStyle w:val="Collegamentoipertestuale"/>
                <w:noProof/>
              </w:rPr>
              <w:t>3.5</w:t>
            </w:r>
            <w:r w:rsidR="00AA5A4C">
              <w:rPr>
                <w:rFonts w:asciiTheme="minorHAnsi" w:eastAsiaTheme="minorEastAsia" w:hAnsiTheme="minorHAnsi" w:cstheme="minorBidi"/>
                <w:noProof/>
                <w:sz w:val="22"/>
                <w:szCs w:val="22"/>
              </w:rPr>
              <w:tab/>
            </w:r>
            <w:r w:rsidR="00AA5A4C" w:rsidRPr="00791754">
              <w:rPr>
                <w:rStyle w:val="Collegamentoipertestuale"/>
                <w:noProof/>
              </w:rPr>
              <w:t>Volets et résultats par volet</w:t>
            </w:r>
            <w:r w:rsidR="00AA5A4C">
              <w:rPr>
                <w:noProof/>
                <w:webHidden/>
              </w:rPr>
              <w:tab/>
            </w:r>
            <w:r w:rsidR="00AA5A4C">
              <w:rPr>
                <w:noProof/>
                <w:webHidden/>
              </w:rPr>
              <w:fldChar w:fldCharType="begin"/>
            </w:r>
            <w:r w:rsidR="00AA5A4C">
              <w:rPr>
                <w:noProof/>
                <w:webHidden/>
              </w:rPr>
              <w:instrText xml:space="preserve"> PAGEREF _Toc200114675 \h </w:instrText>
            </w:r>
            <w:r w:rsidR="00AA5A4C">
              <w:rPr>
                <w:noProof/>
                <w:webHidden/>
              </w:rPr>
            </w:r>
            <w:r w:rsidR="00AA5A4C">
              <w:rPr>
                <w:noProof/>
                <w:webHidden/>
              </w:rPr>
              <w:fldChar w:fldCharType="separate"/>
            </w:r>
            <w:r w:rsidR="00AA5A4C">
              <w:rPr>
                <w:noProof/>
                <w:webHidden/>
              </w:rPr>
              <w:t>13</w:t>
            </w:r>
            <w:r w:rsidR="00AA5A4C">
              <w:rPr>
                <w:noProof/>
                <w:webHidden/>
              </w:rPr>
              <w:fldChar w:fldCharType="end"/>
            </w:r>
          </w:hyperlink>
        </w:p>
        <w:p w14:paraId="4C7212E5"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83" w:history="1">
            <w:r w:rsidR="00AA5A4C" w:rsidRPr="00791754">
              <w:rPr>
                <w:rStyle w:val="Collegamentoipertestuale"/>
                <w:noProof/>
              </w:rPr>
              <w:t>3.6</w:t>
            </w:r>
            <w:r w:rsidR="00AA5A4C">
              <w:rPr>
                <w:rFonts w:asciiTheme="minorHAnsi" w:eastAsiaTheme="minorEastAsia" w:hAnsiTheme="minorHAnsi" w:cstheme="minorBidi"/>
                <w:noProof/>
                <w:sz w:val="22"/>
                <w:szCs w:val="22"/>
              </w:rPr>
              <w:tab/>
            </w:r>
            <w:r w:rsidR="00AA5A4C" w:rsidRPr="00791754">
              <w:rPr>
                <w:rStyle w:val="Collegamentoipertestuale"/>
                <w:noProof/>
              </w:rPr>
              <w:t>Moyens et apports de l’administration de l’État membre de l’UE partenaire.</w:t>
            </w:r>
            <w:r w:rsidR="00AA5A4C">
              <w:rPr>
                <w:noProof/>
                <w:webHidden/>
              </w:rPr>
              <w:tab/>
            </w:r>
            <w:r w:rsidR="00AA5A4C">
              <w:rPr>
                <w:noProof/>
                <w:webHidden/>
              </w:rPr>
              <w:fldChar w:fldCharType="begin"/>
            </w:r>
            <w:r w:rsidR="00AA5A4C">
              <w:rPr>
                <w:noProof/>
                <w:webHidden/>
              </w:rPr>
              <w:instrText xml:space="preserve"> PAGEREF _Toc200114683 \h </w:instrText>
            </w:r>
            <w:r w:rsidR="00AA5A4C">
              <w:rPr>
                <w:noProof/>
                <w:webHidden/>
              </w:rPr>
            </w:r>
            <w:r w:rsidR="00AA5A4C">
              <w:rPr>
                <w:noProof/>
                <w:webHidden/>
              </w:rPr>
              <w:fldChar w:fldCharType="separate"/>
            </w:r>
            <w:r w:rsidR="00AA5A4C">
              <w:rPr>
                <w:noProof/>
                <w:webHidden/>
              </w:rPr>
              <w:t>15</w:t>
            </w:r>
            <w:r w:rsidR="00AA5A4C">
              <w:rPr>
                <w:noProof/>
                <w:webHidden/>
              </w:rPr>
              <w:fldChar w:fldCharType="end"/>
            </w:r>
          </w:hyperlink>
        </w:p>
        <w:p w14:paraId="4F4BBF4C" w14:textId="77777777" w:rsidR="00AA5A4C" w:rsidRDefault="00000000">
          <w:pPr>
            <w:pStyle w:val="Sommario3"/>
            <w:tabs>
              <w:tab w:val="left" w:pos="1320"/>
              <w:tab w:val="right" w:pos="9062"/>
            </w:tabs>
            <w:rPr>
              <w:rFonts w:asciiTheme="minorHAnsi" w:eastAsiaTheme="minorEastAsia" w:hAnsiTheme="minorHAnsi" w:cstheme="minorBidi"/>
              <w:noProof/>
              <w:sz w:val="22"/>
              <w:szCs w:val="22"/>
            </w:rPr>
          </w:pPr>
          <w:hyperlink w:anchor="_Toc200114684" w:history="1">
            <w:r w:rsidR="00AA5A4C" w:rsidRPr="00791754">
              <w:rPr>
                <w:rStyle w:val="Collegamentoipertestuale"/>
                <w:noProof/>
              </w:rPr>
              <w:t>3.6.1</w:t>
            </w:r>
            <w:r w:rsidR="00AA5A4C">
              <w:rPr>
                <w:rFonts w:asciiTheme="minorHAnsi" w:eastAsiaTheme="minorEastAsia" w:hAnsiTheme="minorHAnsi" w:cstheme="minorBidi"/>
                <w:noProof/>
                <w:sz w:val="22"/>
                <w:szCs w:val="22"/>
              </w:rPr>
              <w:tab/>
            </w:r>
            <w:r w:rsidR="00AA5A4C" w:rsidRPr="00791754">
              <w:rPr>
                <w:rStyle w:val="Collegamentoipertestuale"/>
                <w:noProof/>
              </w:rPr>
              <w:t>Profil et tâches du Chef de Projet (CP)</w:t>
            </w:r>
            <w:r w:rsidR="00AA5A4C">
              <w:rPr>
                <w:noProof/>
                <w:webHidden/>
              </w:rPr>
              <w:tab/>
            </w:r>
            <w:r w:rsidR="00AA5A4C">
              <w:rPr>
                <w:noProof/>
                <w:webHidden/>
              </w:rPr>
              <w:fldChar w:fldCharType="begin"/>
            </w:r>
            <w:r w:rsidR="00AA5A4C">
              <w:rPr>
                <w:noProof/>
                <w:webHidden/>
              </w:rPr>
              <w:instrText xml:space="preserve"> PAGEREF _Toc200114684 \h </w:instrText>
            </w:r>
            <w:r w:rsidR="00AA5A4C">
              <w:rPr>
                <w:noProof/>
                <w:webHidden/>
              </w:rPr>
            </w:r>
            <w:r w:rsidR="00AA5A4C">
              <w:rPr>
                <w:noProof/>
                <w:webHidden/>
              </w:rPr>
              <w:fldChar w:fldCharType="separate"/>
            </w:r>
            <w:r w:rsidR="00AA5A4C">
              <w:rPr>
                <w:noProof/>
                <w:webHidden/>
              </w:rPr>
              <w:t>15</w:t>
            </w:r>
            <w:r w:rsidR="00AA5A4C">
              <w:rPr>
                <w:noProof/>
                <w:webHidden/>
              </w:rPr>
              <w:fldChar w:fldCharType="end"/>
            </w:r>
          </w:hyperlink>
        </w:p>
        <w:p w14:paraId="27F693DD" w14:textId="77777777" w:rsidR="00AA5A4C" w:rsidRDefault="00000000">
          <w:pPr>
            <w:pStyle w:val="Sommario3"/>
            <w:tabs>
              <w:tab w:val="left" w:pos="1320"/>
              <w:tab w:val="right" w:pos="9062"/>
            </w:tabs>
            <w:rPr>
              <w:rFonts w:asciiTheme="minorHAnsi" w:eastAsiaTheme="minorEastAsia" w:hAnsiTheme="minorHAnsi" w:cstheme="minorBidi"/>
              <w:noProof/>
              <w:sz w:val="22"/>
              <w:szCs w:val="22"/>
            </w:rPr>
          </w:pPr>
          <w:hyperlink w:anchor="_Toc200114685" w:history="1">
            <w:r w:rsidR="00AA5A4C" w:rsidRPr="00791754">
              <w:rPr>
                <w:rStyle w:val="Collegamentoipertestuale"/>
                <w:noProof/>
              </w:rPr>
              <w:t>3.6.2</w:t>
            </w:r>
            <w:r w:rsidR="00AA5A4C">
              <w:rPr>
                <w:rFonts w:asciiTheme="minorHAnsi" w:eastAsiaTheme="minorEastAsia" w:hAnsiTheme="minorHAnsi" w:cstheme="minorBidi"/>
                <w:noProof/>
                <w:sz w:val="22"/>
                <w:szCs w:val="22"/>
              </w:rPr>
              <w:tab/>
            </w:r>
            <w:r w:rsidR="00AA5A4C" w:rsidRPr="00791754">
              <w:rPr>
                <w:rStyle w:val="Collegamentoipertestuale"/>
                <w:noProof/>
              </w:rPr>
              <w:t>Tâches et profil du Conseiller-Résident de jumelage</w:t>
            </w:r>
            <w:r w:rsidR="00AA5A4C">
              <w:rPr>
                <w:noProof/>
                <w:webHidden/>
              </w:rPr>
              <w:tab/>
            </w:r>
            <w:r w:rsidR="00AA5A4C">
              <w:rPr>
                <w:noProof/>
                <w:webHidden/>
              </w:rPr>
              <w:fldChar w:fldCharType="begin"/>
            </w:r>
            <w:r w:rsidR="00AA5A4C">
              <w:rPr>
                <w:noProof/>
                <w:webHidden/>
              </w:rPr>
              <w:instrText xml:space="preserve"> PAGEREF _Toc200114685 \h </w:instrText>
            </w:r>
            <w:r w:rsidR="00AA5A4C">
              <w:rPr>
                <w:noProof/>
                <w:webHidden/>
              </w:rPr>
            </w:r>
            <w:r w:rsidR="00AA5A4C">
              <w:rPr>
                <w:noProof/>
                <w:webHidden/>
              </w:rPr>
              <w:fldChar w:fldCharType="separate"/>
            </w:r>
            <w:r w:rsidR="00AA5A4C">
              <w:rPr>
                <w:noProof/>
                <w:webHidden/>
              </w:rPr>
              <w:t>16</w:t>
            </w:r>
            <w:r w:rsidR="00AA5A4C">
              <w:rPr>
                <w:noProof/>
                <w:webHidden/>
              </w:rPr>
              <w:fldChar w:fldCharType="end"/>
            </w:r>
          </w:hyperlink>
        </w:p>
        <w:p w14:paraId="3993432D"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86" w:history="1">
            <w:r w:rsidR="00AA5A4C" w:rsidRPr="00791754">
              <w:rPr>
                <w:rStyle w:val="Collegamentoipertestuale"/>
                <w:noProof/>
              </w:rPr>
              <w:t>4</w:t>
            </w:r>
            <w:r w:rsidR="00AA5A4C">
              <w:rPr>
                <w:rFonts w:asciiTheme="minorHAnsi" w:eastAsiaTheme="minorEastAsia" w:hAnsiTheme="minorHAnsi" w:cstheme="minorBidi"/>
                <w:noProof/>
                <w:sz w:val="22"/>
                <w:szCs w:val="22"/>
              </w:rPr>
              <w:tab/>
            </w:r>
            <w:r w:rsidR="00AA5A4C" w:rsidRPr="00791754">
              <w:rPr>
                <w:rStyle w:val="Collegamentoipertestuale"/>
                <w:noProof/>
              </w:rPr>
              <w:t>Budget</w:t>
            </w:r>
            <w:r w:rsidR="00AA5A4C">
              <w:rPr>
                <w:noProof/>
                <w:webHidden/>
              </w:rPr>
              <w:tab/>
            </w:r>
            <w:r w:rsidR="00AA5A4C">
              <w:rPr>
                <w:noProof/>
                <w:webHidden/>
              </w:rPr>
              <w:fldChar w:fldCharType="begin"/>
            </w:r>
            <w:r w:rsidR="00AA5A4C">
              <w:rPr>
                <w:noProof/>
                <w:webHidden/>
              </w:rPr>
              <w:instrText xml:space="preserve"> PAGEREF _Toc200114686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6184F089"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87" w:history="1">
            <w:r w:rsidR="00AA5A4C" w:rsidRPr="00791754">
              <w:rPr>
                <w:rStyle w:val="Collegamentoipertestuale"/>
                <w:noProof/>
              </w:rPr>
              <w:t>5</w:t>
            </w:r>
            <w:r w:rsidR="00AA5A4C">
              <w:rPr>
                <w:rFonts w:asciiTheme="minorHAnsi" w:eastAsiaTheme="minorEastAsia" w:hAnsiTheme="minorHAnsi" w:cstheme="minorBidi"/>
                <w:noProof/>
                <w:sz w:val="22"/>
                <w:szCs w:val="22"/>
              </w:rPr>
              <w:tab/>
            </w:r>
            <w:r w:rsidR="00AA5A4C" w:rsidRPr="00791754">
              <w:rPr>
                <w:rStyle w:val="Collegamentoipertestuale"/>
                <w:noProof/>
              </w:rPr>
              <w:t>Modalités de mise en œuvre</w:t>
            </w:r>
            <w:r w:rsidR="00AA5A4C">
              <w:rPr>
                <w:noProof/>
                <w:webHidden/>
              </w:rPr>
              <w:tab/>
            </w:r>
            <w:r w:rsidR="00AA5A4C">
              <w:rPr>
                <w:noProof/>
                <w:webHidden/>
              </w:rPr>
              <w:fldChar w:fldCharType="begin"/>
            </w:r>
            <w:r w:rsidR="00AA5A4C">
              <w:rPr>
                <w:noProof/>
                <w:webHidden/>
              </w:rPr>
              <w:instrText xml:space="preserve"> PAGEREF _Toc200114687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440C93C8"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88" w:history="1">
            <w:r w:rsidR="00AA5A4C" w:rsidRPr="00791754">
              <w:rPr>
                <w:rStyle w:val="Collegamentoipertestuale"/>
                <w:noProof/>
              </w:rPr>
              <w:t>5.1</w:t>
            </w:r>
            <w:r w:rsidR="00AA5A4C">
              <w:rPr>
                <w:rFonts w:asciiTheme="minorHAnsi" w:eastAsiaTheme="minorEastAsia" w:hAnsiTheme="minorHAnsi" w:cstheme="minorBidi"/>
                <w:noProof/>
                <w:sz w:val="22"/>
                <w:szCs w:val="22"/>
              </w:rPr>
              <w:tab/>
            </w:r>
            <w:r w:rsidR="00AA5A4C" w:rsidRPr="00791754">
              <w:rPr>
                <w:rStyle w:val="Collegamentoipertestuale"/>
                <w:noProof/>
              </w:rPr>
              <w:t>Organisme de mise en œuvre</w:t>
            </w:r>
            <w:r w:rsidR="00AA5A4C">
              <w:rPr>
                <w:noProof/>
                <w:webHidden/>
              </w:rPr>
              <w:tab/>
            </w:r>
            <w:r w:rsidR="00AA5A4C">
              <w:rPr>
                <w:noProof/>
                <w:webHidden/>
              </w:rPr>
              <w:fldChar w:fldCharType="begin"/>
            </w:r>
            <w:r w:rsidR="00AA5A4C">
              <w:rPr>
                <w:noProof/>
                <w:webHidden/>
              </w:rPr>
              <w:instrText xml:space="preserve"> PAGEREF _Toc200114688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318E3B98"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89" w:history="1">
            <w:r w:rsidR="00AA5A4C" w:rsidRPr="00791754">
              <w:rPr>
                <w:rStyle w:val="Collegamentoipertestuale"/>
                <w:noProof/>
              </w:rPr>
              <w:t>5.2</w:t>
            </w:r>
            <w:r w:rsidR="00AA5A4C">
              <w:rPr>
                <w:rFonts w:asciiTheme="minorHAnsi" w:eastAsiaTheme="minorEastAsia" w:hAnsiTheme="minorHAnsi" w:cstheme="minorBidi"/>
                <w:noProof/>
                <w:sz w:val="22"/>
                <w:szCs w:val="22"/>
              </w:rPr>
              <w:tab/>
            </w:r>
            <w:r w:rsidR="00AA5A4C" w:rsidRPr="00791754">
              <w:rPr>
                <w:rStyle w:val="Collegamentoipertestuale"/>
                <w:noProof/>
              </w:rPr>
              <w:t>Cadre institutionnel</w:t>
            </w:r>
            <w:r w:rsidR="00AA5A4C">
              <w:rPr>
                <w:noProof/>
                <w:webHidden/>
              </w:rPr>
              <w:tab/>
            </w:r>
            <w:r w:rsidR="00AA5A4C">
              <w:rPr>
                <w:noProof/>
                <w:webHidden/>
              </w:rPr>
              <w:fldChar w:fldCharType="begin"/>
            </w:r>
            <w:r w:rsidR="00AA5A4C">
              <w:rPr>
                <w:noProof/>
                <w:webHidden/>
              </w:rPr>
              <w:instrText xml:space="preserve"> PAGEREF _Toc200114689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38910B30"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90" w:history="1">
            <w:r w:rsidR="00AA5A4C" w:rsidRPr="00791754">
              <w:rPr>
                <w:rStyle w:val="Collegamentoipertestuale"/>
                <w:noProof/>
              </w:rPr>
              <w:t>5.3</w:t>
            </w:r>
            <w:r w:rsidR="00AA5A4C">
              <w:rPr>
                <w:rFonts w:asciiTheme="minorHAnsi" w:eastAsiaTheme="minorEastAsia" w:hAnsiTheme="minorHAnsi" w:cstheme="minorBidi"/>
                <w:noProof/>
                <w:sz w:val="22"/>
                <w:szCs w:val="22"/>
              </w:rPr>
              <w:tab/>
            </w:r>
            <w:r w:rsidR="00AA5A4C" w:rsidRPr="00791754">
              <w:rPr>
                <w:rStyle w:val="Collegamentoipertestuale"/>
                <w:noProof/>
              </w:rPr>
              <w:t>Homologues dans l’administration bénéficiaire</w:t>
            </w:r>
            <w:r w:rsidR="00AA5A4C">
              <w:rPr>
                <w:noProof/>
                <w:webHidden/>
              </w:rPr>
              <w:tab/>
            </w:r>
            <w:r w:rsidR="00AA5A4C">
              <w:rPr>
                <w:noProof/>
                <w:webHidden/>
              </w:rPr>
              <w:fldChar w:fldCharType="begin"/>
            </w:r>
            <w:r w:rsidR="00AA5A4C">
              <w:rPr>
                <w:noProof/>
                <w:webHidden/>
              </w:rPr>
              <w:instrText xml:space="preserve"> PAGEREF _Toc200114690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2F670987" w14:textId="77777777" w:rsidR="00AA5A4C" w:rsidRDefault="00000000">
          <w:pPr>
            <w:pStyle w:val="Sommario3"/>
            <w:tabs>
              <w:tab w:val="left" w:pos="1320"/>
              <w:tab w:val="right" w:pos="9062"/>
            </w:tabs>
            <w:rPr>
              <w:rFonts w:asciiTheme="minorHAnsi" w:eastAsiaTheme="minorEastAsia" w:hAnsiTheme="minorHAnsi" w:cstheme="minorBidi"/>
              <w:noProof/>
              <w:sz w:val="22"/>
              <w:szCs w:val="22"/>
            </w:rPr>
          </w:pPr>
          <w:hyperlink w:anchor="_Toc200114691" w:history="1">
            <w:r w:rsidR="00AA5A4C" w:rsidRPr="00791754">
              <w:rPr>
                <w:rStyle w:val="Collegamentoipertestuale"/>
                <w:bCs/>
                <w:noProof/>
              </w:rPr>
              <w:t>5.3.1</w:t>
            </w:r>
            <w:r w:rsidR="00AA5A4C">
              <w:rPr>
                <w:rFonts w:asciiTheme="minorHAnsi" w:eastAsiaTheme="minorEastAsia" w:hAnsiTheme="minorHAnsi" w:cstheme="minorBidi"/>
                <w:noProof/>
                <w:sz w:val="22"/>
                <w:szCs w:val="22"/>
              </w:rPr>
              <w:tab/>
            </w:r>
            <w:r w:rsidR="00AA5A4C" w:rsidRPr="00791754">
              <w:rPr>
                <w:rStyle w:val="Collegamentoipertestuale"/>
                <w:bCs/>
                <w:noProof/>
              </w:rPr>
              <w:t>Personne de contact</w:t>
            </w:r>
            <w:r w:rsidR="00AA5A4C">
              <w:rPr>
                <w:noProof/>
                <w:webHidden/>
              </w:rPr>
              <w:tab/>
            </w:r>
            <w:r w:rsidR="00AA5A4C">
              <w:rPr>
                <w:noProof/>
                <w:webHidden/>
              </w:rPr>
              <w:fldChar w:fldCharType="begin"/>
            </w:r>
            <w:r w:rsidR="00AA5A4C">
              <w:rPr>
                <w:noProof/>
                <w:webHidden/>
              </w:rPr>
              <w:instrText xml:space="preserve"> PAGEREF _Toc200114691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1EE558C3" w14:textId="77777777" w:rsidR="00AA5A4C" w:rsidRDefault="00000000">
          <w:pPr>
            <w:pStyle w:val="Sommario3"/>
            <w:tabs>
              <w:tab w:val="left" w:pos="1320"/>
              <w:tab w:val="right" w:pos="9062"/>
            </w:tabs>
            <w:rPr>
              <w:rFonts w:asciiTheme="minorHAnsi" w:eastAsiaTheme="minorEastAsia" w:hAnsiTheme="minorHAnsi" w:cstheme="minorBidi"/>
              <w:noProof/>
              <w:sz w:val="22"/>
              <w:szCs w:val="22"/>
            </w:rPr>
          </w:pPr>
          <w:hyperlink w:anchor="_Toc200114692" w:history="1">
            <w:r w:rsidR="00AA5A4C" w:rsidRPr="00791754">
              <w:rPr>
                <w:rStyle w:val="Collegamentoipertestuale"/>
                <w:bCs/>
                <w:noProof/>
              </w:rPr>
              <w:t>5.3.2</w:t>
            </w:r>
            <w:r w:rsidR="00AA5A4C">
              <w:rPr>
                <w:rFonts w:asciiTheme="minorHAnsi" w:eastAsiaTheme="minorEastAsia" w:hAnsiTheme="minorHAnsi" w:cstheme="minorBidi"/>
                <w:noProof/>
                <w:sz w:val="22"/>
                <w:szCs w:val="22"/>
              </w:rPr>
              <w:tab/>
            </w:r>
            <w:r w:rsidR="00AA5A4C" w:rsidRPr="00791754">
              <w:rPr>
                <w:rStyle w:val="Collegamentoipertestuale"/>
                <w:bCs/>
                <w:noProof/>
              </w:rPr>
              <w:t>Homologue du CP</w:t>
            </w:r>
            <w:r w:rsidR="00AA5A4C">
              <w:rPr>
                <w:noProof/>
                <w:webHidden/>
              </w:rPr>
              <w:tab/>
            </w:r>
            <w:r w:rsidR="00AA5A4C">
              <w:rPr>
                <w:noProof/>
                <w:webHidden/>
              </w:rPr>
              <w:fldChar w:fldCharType="begin"/>
            </w:r>
            <w:r w:rsidR="00AA5A4C">
              <w:rPr>
                <w:noProof/>
                <w:webHidden/>
              </w:rPr>
              <w:instrText xml:space="preserve"> PAGEREF _Toc200114692 \h </w:instrText>
            </w:r>
            <w:r w:rsidR="00AA5A4C">
              <w:rPr>
                <w:noProof/>
                <w:webHidden/>
              </w:rPr>
            </w:r>
            <w:r w:rsidR="00AA5A4C">
              <w:rPr>
                <w:noProof/>
                <w:webHidden/>
              </w:rPr>
              <w:fldChar w:fldCharType="separate"/>
            </w:r>
            <w:r w:rsidR="00AA5A4C">
              <w:rPr>
                <w:noProof/>
                <w:webHidden/>
              </w:rPr>
              <w:t>18</w:t>
            </w:r>
            <w:r w:rsidR="00AA5A4C">
              <w:rPr>
                <w:noProof/>
                <w:webHidden/>
              </w:rPr>
              <w:fldChar w:fldCharType="end"/>
            </w:r>
          </w:hyperlink>
        </w:p>
        <w:p w14:paraId="5F8AE6B6" w14:textId="77777777" w:rsidR="00AA5A4C" w:rsidRDefault="00000000">
          <w:pPr>
            <w:pStyle w:val="Sommario3"/>
            <w:tabs>
              <w:tab w:val="left" w:pos="1320"/>
              <w:tab w:val="right" w:pos="9062"/>
            </w:tabs>
            <w:rPr>
              <w:rFonts w:asciiTheme="minorHAnsi" w:eastAsiaTheme="minorEastAsia" w:hAnsiTheme="minorHAnsi" w:cstheme="minorBidi"/>
              <w:noProof/>
              <w:sz w:val="22"/>
              <w:szCs w:val="22"/>
            </w:rPr>
          </w:pPr>
          <w:hyperlink w:anchor="_Toc200114693" w:history="1">
            <w:r w:rsidR="00AA5A4C" w:rsidRPr="00791754">
              <w:rPr>
                <w:rStyle w:val="Collegamentoipertestuale"/>
                <w:bCs/>
                <w:noProof/>
              </w:rPr>
              <w:t>5.3.3</w:t>
            </w:r>
            <w:r w:rsidR="00AA5A4C">
              <w:rPr>
                <w:rFonts w:asciiTheme="minorHAnsi" w:eastAsiaTheme="minorEastAsia" w:hAnsiTheme="minorHAnsi" w:cstheme="minorBidi"/>
                <w:noProof/>
                <w:sz w:val="22"/>
                <w:szCs w:val="22"/>
              </w:rPr>
              <w:tab/>
            </w:r>
            <w:r w:rsidR="00AA5A4C" w:rsidRPr="00791754">
              <w:rPr>
                <w:rStyle w:val="Collegamentoipertestuale"/>
                <w:bCs/>
                <w:noProof/>
              </w:rPr>
              <w:t>Homologue du CRJ</w:t>
            </w:r>
            <w:r w:rsidR="00AA5A4C">
              <w:rPr>
                <w:noProof/>
                <w:webHidden/>
              </w:rPr>
              <w:tab/>
            </w:r>
            <w:r w:rsidR="00AA5A4C">
              <w:rPr>
                <w:noProof/>
                <w:webHidden/>
              </w:rPr>
              <w:fldChar w:fldCharType="begin"/>
            </w:r>
            <w:r w:rsidR="00AA5A4C">
              <w:rPr>
                <w:noProof/>
                <w:webHidden/>
              </w:rPr>
              <w:instrText xml:space="preserve"> PAGEREF _Toc200114693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6EC1C4F5"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94" w:history="1">
            <w:r w:rsidR="00AA5A4C" w:rsidRPr="00791754">
              <w:rPr>
                <w:rStyle w:val="Collegamentoipertestuale"/>
                <w:noProof/>
              </w:rPr>
              <w:t>6</w:t>
            </w:r>
            <w:r w:rsidR="00AA5A4C">
              <w:rPr>
                <w:rFonts w:asciiTheme="minorHAnsi" w:eastAsiaTheme="minorEastAsia" w:hAnsiTheme="minorHAnsi" w:cstheme="minorBidi"/>
                <w:noProof/>
                <w:sz w:val="22"/>
                <w:szCs w:val="22"/>
              </w:rPr>
              <w:tab/>
            </w:r>
            <w:r w:rsidR="00AA5A4C" w:rsidRPr="00791754">
              <w:rPr>
                <w:rStyle w:val="Collegamentoipertestuale"/>
                <w:noProof/>
              </w:rPr>
              <w:t>Durée du projet</w:t>
            </w:r>
            <w:r w:rsidR="00AA5A4C">
              <w:rPr>
                <w:noProof/>
                <w:webHidden/>
              </w:rPr>
              <w:tab/>
            </w:r>
            <w:r w:rsidR="00AA5A4C">
              <w:rPr>
                <w:noProof/>
                <w:webHidden/>
              </w:rPr>
              <w:fldChar w:fldCharType="begin"/>
            </w:r>
            <w:r w:rsidR="00AA5A4C">
              <w:rPr>
                <w:noProof/>
                <w:webHidden/>
              </w:rPr>
              <w:instrText xml:space="preserve"> PAGEREF _Toc200114694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1AADD9FA"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95" w:history="1">
            <w:r w:rsidR="00AA5A4C" w:rsidRPr="00791754">
              <w:rPr>
                <w:rStyle w:val="Collegamentoipertestuale"/>
                <w:noProof/>
              </w:rPr>
              <w:t>7</w:t>
            </w:r>
            <w:r w:rsidR="00AA5A4C">
              <w:rPr>
                <w:rFonts w:asciiTheme="minorHAnsi" w:eastAsiaTheme="minorEastAsia" w:hAnsiTheme="minorHAnsi" w:cstheme="minorBidi"/>
                <w:noProof/>
                <w:sz w:val="22"/>
                <w:szCs w:val="22"/>
              </w:rPr>
              <w:tab/>
            </w:r>
            <w:r w:rsidR="00AA5A4C" w:rsidRPr="00791754">
              <w:rPr>
                <w:rStyle w:val="Collegamentoipertestuale"/>
                <w:noProof/>
              </w:rPr>
              <w:t>Gestion et rapports</w:t>
            </w:r>
            <w:r w:rsidR="00AA5A4C">
              <w:rPr>
                <w:noProof/>
                <w:webHidden/>
              </w:rPr>
              <w:tab/>
            </w:r>
            <w:r w:rsidR="00AA5A4C">
              <w:rPr>
                <w:noProof/>
                <w:webHidden/>
              </w:rPr>
              <w:fldChar w:fldCharType="begin"/>
            </w:r>
            <w:r w:rsidR="00AA5A4C">
              <w:rPr>
                <w:noProof/>
                <w:webHidden/>
              </w:rPr>
              <w:instrText xml:space="preserve"> PAGEREF _Toc200114695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1A8FFFC0"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96" w:history="1">
            <w:r w:rsidR="00AA5A4C" w:rsidRPr="00791754">
              <w:rPr>
                <w:rStyle w:val="Collegamentoipertestuale"/>
                <w:noProof/>
              </w:rPr>
              <w:t>7.1</w:t>
            </w:r>
            <w:r w:rsidR="00AA5A4C">
              <w:rPr>
                <w:rFonts w:asciiTheme="minorHAnsi" w:eastAsiaTheme="minorEastAsia" w:hAnsiTheme="minorHAnsi" w:cstheme="minorBidi"/>
                <w:noProof/>
                <w:sz w:val="22"/>
                <w:szCs w:val="22"/>
              </w:rPr>
              <w:tab/>
            </w:r>
            <w:r w:rsidR="00AA5A4C" w:rsidRPr="00791754">
              <w:rPr>
                <w:rStyle w:val="Collegamentoipertestuale"/>
                <w:noProof/>
              </w:rPr>
              <w:t>Langue</w:t>
            </w:r>
            <w:r w:rsidR="00AA5A4C">
              <w:rPr>
                <w:noProof/>
                <w:webHidden/>
              </w:rPr>
              <w:tab/>
            </w:r>
            <w:r w:rsidR="00AA5A4C">
              <w:rPr>
                <w:noProof/>
                <w:webHidden/>
              </w:rPr>
              <w:fldChar w:fldCharType="begin"/>
            </w:r>
            <w:r w:rsidR="00AA5A4C">
              <w:rPr>
                <w:noProof/>
                <w:webHidden/>
              </w:rPr>
              <w:instrText xml:space="preserve"> PAGEREF _Toc200114696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21531782"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97" w:history="1">
            <w:r w:rsidR="00AA5A4C" w:rsidRPr="00791754">
              <w:rPr>
                <w:rStyle w:val="Collegamentoipertestuale"/>
                <w:noProof/>
              </w:rPr>
              <w:t>7.2</w:t>
            </w:r>
            <w:r w:rsidR="00AA5A4C">
              <w:rPr>
                <w:rFonts w:asciiTheme="minorHAnsi" w:eastAsiaTheme="minorEastAsia" w:hAnsiTheme="minorHAnsi" w:cstheme="minorBidi"/>
                <w:noProof/>
                <w:sz w:val="22"/>
                <w:szCs w:val="22"/>
              </w:rPr>
              <w:tab/>
            </w:r>
            <w:r w:rsidR="00AA5A4C" w:rsidRPr="00791754">
              <w:rPr>
                <w:rStyle w:val="Collegamentoipertestuale"/>
                <w:noProof/>
              </w:rPr>
              <w:t>Comité de pilotage du projet</w:t>
            </w:r>
            <w:r w:rsidR="00AA5A4C">
              <w:rPr>
                <w:noProof/>
                <w:webHidden/>
              </w:rPr>
              <w:tab/>
            </w:r>
            <w:r w:rsidR="00AA5A4C">
              <w:rPr>
                <w:noProof/>
                <w:webHidden/>
              </w:rPr>
              <w:fldChar w:fldCharType="begin"/>
            </w:r>
            <w:r w:rsidR="00AA5A4C">
              <w:rPr>
                <w:noProof/>
                <w:webHidden/>
              </w:rPr>
              <w:instrText xml:space="preserve"> PAGEREF _Toc200114697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0BB996E5"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698" w:history="1">
            <w:r w:rsidR="00AA5A4C" w:rsidRPr="00791754">
              <w:rPr>
                <w:rStyle w:val="Collegamentoipertestuale"/>
                <w:noProof/>
              </w:rPr>
              <w:t>7.3</w:t>
            </w:r>
            <w:r w:rsidR="00AA5A4C">
              <w:rPr>
                <w:rFonts w:asciiTheme="minorHAnsi" w:eastAsiaTheme="minorEastAsia" w:hAnsiTheme="minorHAnsi" w:cstheme="minorBidi"/>
                <w:noProof/>
                <w:sz w:val="22"/>
                <w:szCs w:val="22"/>
              </w:rPr>
              <w:tab/>
            </w:r>
            <w:r w:rsidR="00AA5A4C" w:rsidRPr="00791754">
              <w:rPr>
                <w:rStyle w:val="Collegamentoipertestuale"/>
                <w:noProof/>
              </w:rPr>
              <w:t>Rapports</w:t>
            </w:r>
            <w:r w:rsidR="00AA5A4C">
              <w:rPr>
                <w:noProof/>
                <w:webHidden/>
              </w:rPr>
              <w:tab/>
            </w:r>
            <w:r w:rsidR="00AA5A4C">
              <w:rPr>
                <w:noProof/>
                <w:webHidden/>
              </w:rPr>
              <w:fldChar w:fldCharType="begin"/>
            </w:r>
            <w:r w:rsidR="00AA5A4C">
              <w:rPr>
                <w:noProof/>
                <w:webHidden/>
              </w:rPr>
              <w:instrText xml:space="preserve"> PAGEREF _Toc200114698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69DE794D"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699" w:history="1">
            <w:r w:rsidR="00AA5A4C" w:rsidRPr="00791754">
              <w:rPr>
                <w:rStyle w:val="Collegamentoipertestuale"/>
                <w:noProof/>
              </w:rPr>
              <w:t>8</w:t>
            </w:r>
            <w:r w:rsidR="00AA5A4C">
              <w:rPr>
                <w:rFonts w:asciiTheme="minorHAnsi" w:eastAsiaTheme="minorEastAsia" w:hAnsiTheme="minorHAnsi" w:cstheme="minorBidi"/>
                <w:noProof/>
                <w:sz w:val="22"/>
                <w:szCs w:val="22"/>
              </w:rPr>
              <w:tab/>
            </w:r>
            <w:r w:rsidR="00AA5A4C" w:rsidRPr="00791754">
              <w:rPr>
                <w:rStyle w:val="Collegamentoipertestuale"/>
                <w:noProof/>
              </w:rPr>
              <w:t>Durabilité</w:t>
            </w:r>
            <w:r w:rsidR="00AA5A4C">
              <w:rPr>
                <w:noProof/>
                <w:webHidden/>
              </w:rPr>
              <w:tab/>
            </w:r>
            <w:r w:rsidR="00AA5A4C">
              <w:rPr>
                <w:noProof/>
                <w:webHidden/>
              </w:rPr>
              <w:fldChar w:fldCharType="begin"/>
            </w:r>
            <w:r w:rsidR="00AA5A4C">
              <w:rPr>
                <w:noProof/>
                <w:webHidden/>
              </w:rPr>
              <w:instrText xml:space="preserve"> PAGEREF _Toc200114699 \h </w:instrText>
            </w:r>
            <w:r w:rsidR="00AA5A4C">
              <w:rPr>
                <w:noProof/>
                <w:webHidden/>
              </w:rPr>
            </w:r>
            <w:r w:rsidR="00AA5A4C">
              <w:rPr>
                <w:noProof/>
                <w:webHidden/>
              </w:rPr>
              <w:fldChar w:fldCharType="separate"/>
            </w:r>
            <w:r w:rsidR="00AA5A4C">
              <w:rPr>
                <w:noProof/>
                <w:webHidden/>
              </w:rPr>
              <w:t>19</w:t>
            </w:r>
            <w:r w:rsidR="00AA5A4C">
              <w:rPr>
                <w:noProof/>
                <w:webHidden/>
              </w:rPr>
              <w:fldChar w:fldCharType="end"/>
            </w:r>
          </w:hyperlink>
        </w:p>
        <w:p w14:paraId="16E05BF6"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700" w:history="1">
            <w:r w:rsidR="00AA5A4C" w:rsidRPr="00791754">
              <w:rPr>
                <w:rStyle w:val="Collegamentoipertestuale"/>
                <w:noProof/>
              </w:rPr>
              <w:t>9</w:t>
            </w:r>
            <w:r w:rsidR="00AA5A4C">
              <w:rPr>
                <w:rFonts w:asciiTheme="minorHAnsi" w:eastAsiaTheme="minorEastAsia" w:hAnsiTheme="minorHAnsi" w:cstheme="minorBidi"/>
                <w:noProof/>
                <w:sz w:val="22"/>
                <w:szCs w:val="22"/>
              </w:rPr>
              <w:tab/>
            </w:r>
            <w:r w:rsidR="00AA5A4C" w:rsidRPr="00791754">
              <w:rPr>
                <w:rStyle w:val="Collegamentoipertestuale"/>
                <w:noProof/>
              </w:rPr>
              <w:t>Questions transversales</w:t>
            </w:r>
            <w:r w:rsidR="00AA5A4C">
              <w:rPr>
                <w:noProof/>
                <w:webHidden/>
              </w:rPr>
              <w:tab/>
            </w:r>
            <w:r w:rsidR="00AA5A4C">
              <w:rPr>
                <w:noProof/>
                <w:webHidden/>
              </w:rPr>
              <w:fldChar w:fldCharType="begin"/>
            </w:r>
            <w:r w:rsidR="00AA5A4C">
              <w:rPr>
                <w:noProof/>
                <w:webHidden/>
              </w:rPr>
              <w:instrText xml:space="preserve"> PAGEREF _Toc200114700 \h </w:instrText>
            </w:r>
            <w:r w:rsidR="00AA5A4C">
              <w:rPr>
                <w:noProof/>
                <w:webHidden/>
              </w:rPr>
            </w:r>
            <w:r w:rsidR="00AA5A4C">
              <w:rPr>
                <w:noProof/>
                <w:webHidden/>
              </w:rPr>
              <w:fldChar w:fldCharType="separate"/>
            </w:r>
            <w:r w:rsidR="00AA5A4C">
              <w:rPr>
                <w:noProof/>
                <w:webHidden/>
              </w:rPr>
              <w:t>20</w:t>
            </w:r>
            <w:r w:rsidR="00AA5A4C">
              <w:rPr>
                <w:noProof/>
                <w:webHidden/>
              </w:rPr>
              <w:fldChar w:fldCharType="end"/>
            </w:r>
          </w:hyperlink>
        </w:p>
        <w:p w14:paraId="3834AFCE"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701" w:history="1">
            <w:r w:rsidR="00AA5A4C" w:rsidRPr="00791754">
              <w:rPr>
                <w:rStyle w:val="Collegamentoipertestuale"/>
                <w:noProof/>
              </w:rPr>
              <w:t>9.1</w:t>
            </w:r>
            <w:r w:rsidR="00AA5A4C">
              <w:rPr>
                <w:rFonts w:asciiTheme="minorHAnsi" w:eastAsiaTheme="minorEastAsia" w:hAnsiTheme="minorHAnsi" w:cstheme="minorBidi"/>
                <w:noProof/>
                <w:sz w:val="22"/>
                <w:szCs w:val="22"/>
              </w:rPr>
              <w:tab/>
            </w:r>
            <w:r w:rsidR="00AA5A4C" w:rsidRPr="00791754">
              <w:rPr>
                <w:rStyle w:val="Collegamentoipertestuale"/>
                <w:noProof/>
              </w:rPr>
              <w:t>Egalité des chances</w:t>
            </w:r>
            <w:r w:rsidR="00AA5A4C">
              <w:rPr>
                <w:noProof/>
                <w:webHidden/>
              </w:rPr>
              <w:tab/>
            </w:r>
            <w:r w:rsidR="00AA5A4C">
              <w:rPr>
                <w:noProof/>
                <w:webHidden/>
              </w:rPr>
              <w:fldChar w:fldCharType="begin"/>
            </w:r>
            <w:r w:rsidR="00AA5A4C">
              <w:rPr>
                <w:noProof/>
                <w:webHidden/>
              </w:rPr>
              <w:instrText xml:space="preserve"> PAGEREF _Toc200114701 \h </w:instrText>
            </w:r>
            <w:r w:rsidR="00AA5A4C">
              <w:rPr>
                <w:noProof/>
                <w:webHidden/>
              </w:rPr>
            </w:r>
            <w:r w:rsidR="00AA5A4C">
              <w:rPr>
                <w:noProof/>
                <w:webHidden/>
              </w:rPr>
              <w:fldChar w:fldCharType="separate"/>
            </w:r>
            <w:r w:rsidR="00AA5A4C">
              <w:rPr>
                <w:noProof/>
                <w:webHidden/>
              </w:rPr>
              <w:t>20</w:t>
            </w:r>
            <w:r w:rsidR="00AA5A4C">
              <w:rPr>
                <w:noProof/>
                <w:webHidden/>
              </w:rPr>
              <w:fldChar w:fldCharType="end"/>
            </w:r>
          </w:hyperlink>
        </w:p>
        <w:p w14:paraId="58493798" w14:textId="77777777" w:rsidR="00AA5A4C" w:rsidRDefault="00000000">
          <w:pPr>
            <w:pStyle w:val="Sommario2"/>
            <w:tabs>
              <w:tab w:val="left" w:pos="880"/>
              <w:tab w:val="right" w:pos="9062"/>
            </w:tabs>
            <w:rPr>
              <w:rFonts w:asciiTheme="minorHAnsi" w:eastAsiaTheme="minorEastAsia" w:hAnsiTheme="minorHAnsi" w:cstheme="minorBidi"/>
              <w:noProof/>
              <w:sz w:val="22"/>
              <w:szCs w:val="22"/>
            </w:rPr>
          </w:pPr>
          <w:hyperlink w:anchor="_Toc200114702" w:history="1">
            <w:r w:rsidR="00AA5A4C" w:rsidRPr="00791754">
              <w:rPr>
                <w:rStyle w:val="Collegamentoipertestuale"/>
                <w:noProof/>
              </w:rPr>
              <w:t>9.2</w:t>
            </w:r>
            <w:r w:rsidR="00AA5A4C">
              <w:rPr>
                <w:rFonts w:asciiTheme="minorHAnsi" w:eastAsiaTheme="minorEastAsia" w:hAnsiTheme="minorHAnsi" w:cstheme="minorBidi"/>
                <w:noProof/>
                <w:sz w:val="22"/>
                <w:szCs w:val="22"/>
              </w:rPr>
              <w:tab/>
            </w:r>
            <w:r w:rsidR="00AA5A4C" w:rsidRPr="00791754">
              <w:rPr>
                <w:rStyle w:val="Collegamentoipertestuale"/>
                <w:noProof/>
              </w:rPr>
              <w:t>Environnement</w:t>
            </w:r>
            <w:r w:rsidR="00AA5A4C">
              <w:rPr>
                <w:noProof/>
                <w:webHidden/>
              </w:rPr>
              <w:tab/>
            </w:r>
            <w:r w:rsidR="00AA5A4C">
              <w:rPr>
                <w:noProof/>
                <w:webHidden/>
              </w:rPr>
              <w:fldChar w:fldCharType="begin"/>
            </w:r>
            <w:r w:rsidR="00AA5A4C">
              <w:rPr>
                <w:noProof/>
                <w:webHidden/>
              </w:rPr>
              <w:instrText xml:space="preserve"> PAGEREF _Toc200114702 \h </w:instrText>
            </w:r>
            <w:r w:rsidR="00AA5A4C">
              <w:rPr>
                <w:noProof/>
                <w:webHidden/>
              </w:rPr>
            </w:r>
            <w:r w:rsidR="00AA5A4C">
              <w:rPr>
                <w:noProof/>
                <w:webHidden/>
              </w:rPr>
              <w:fldChar w:fldCharType="separate"/>
            </w:r>
            <w:r w:rsidR="00AA5A4C">
              <w:rPr>
                <w:noProof/>
                <w:webHidden/>
              </w:rPr>
              <w:t>20</w:t>
            </w:r>
            <w:r w:rsidR="00AA5A4C">
              <w:rPr>
                <w:noProof/>
                <w:webHidden/>
              </w:rPr>
              <w:fldChar w:fldCharType="end"/>
            </w:r>
          </w:hyperlink>
        </w:p>
        <w:p w14:paraId="0BE6A02F"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703" w:history="1">
            <w:r w:rsidR="00AA5A4C" w:rsidRPr="00791754">
              <w:rPr>
                <w:rStyle w:val="Collegamentoipertestuale"/>
                <w:noProof/>
              </w:rPr>
              <w:t>10</w:t>
            </w:r>
            <w:r w:rsidR="00AA5A4C">
              <w:rPr>
                <w:rFonts w:asciiTheme="minorHAnsi" w:eastAsiaTheme="minorEastAsia" w:hAnsiTheme="minorHAnsi" w:cstheme="minorBidi"/>
                <w:noProof/>
                <w:sz w:val="22"/>
                <w:szCs w:val="22"/>
              </w:rPr>
              <w:tab/>
            </w:r>
            <w:r w:rsidR="00AA5A4C" w:rsidRPr="00791754">
              <w:rPr>
                <w:rStyle w:val="Collegamentoipertestuale"/>
                <w:noProof/>
              </w:rPr>
              <w:t>Conditionnalité et échelonnement</w:t>
            </w:r>
            <w:r w:rsidR="00AA5A4C">
              <w:rPr>
                <w:noProof/>
                <w:webHidden/>
              </w:rPr>
              <w:tab/>
            </w:r>
            <w:r w:rsidR="00AA5A4C">
              <w:rPr>
                <w:noProof/>
                <w:webHidden/>
              </w:rPr>
              <w:fldChar w:fldCharType="begin"/>
            </w:r>
            <w:r w:rsidR="00AA5A4C">
              <w:rPr>
                <w:noProof/>
                <w:webHidden/>
              </w:rPr>
              <w:instrText xml:space="preserve"> PAGEREF _Toc200114703 \h </w:instrText>
            </w:r>
            <w:r w:rsidR="00AA5A4C">
              <w:rPr>
                <w:noProof/>
                <w:webHidden/>
              </w:rPr>
            </w:r>
            <w:r w:rsidR="00AA5A4C">
              <w:rPr>
                <w:noProof/>
                <w:webHidden/>
              </w:rPr>
              <w:fldChar w:fldCharType="separate"/>
            </w:r>
            <w:r w:rsidR="00AA5A4C">
              <w:rPr>
                <w:noProof/>
                <w:webHidden/>
              </w:rPr>
              <w:t>20</w:t>
            </w:r>
            <w:r w:rsidR="00AA5A4C">
              <w:rPr>
                <w:noProof/>
                <w:webHidden/>
              </w:rPr>
              <w:fldChar w:fldCharType="end"/>
            </w:r>
          </w:hyperlink>
        </w:p>
        <w:p w14:paraId="299BD603"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704" w:history="1">
            <w:r w:rsidR="00AA5A4C" w:rsidRPr="00791754">
              <w:rPr>
                <w:rStyle w:val="Collegamentoipertestuale"/>
                <w:noProof/>
              </w:rPr>
              <w:t>11</w:t>
            </w:r>
            <w:r w:rsidR="00AA5A4C">
              <w:rPr>
                <w:rFonts w:asciiTheme="minorHAnsi" w:eastAsiaTheme="minorEastAsia" w:hAnsiTheme="minorHAnsi" w:cstheme="minorBidi"/>
                <w:noProof/>
                <w:sz w:val="22"/>
                <w:szCs w:val="22"/>
              </w:rPr>
              <w:tab/>
            </w:r>
            <w:r w:rsidR="00AA5A4C" w:rsidRPr="00791754">
              <w:rPr>
                <w:rStyle w:val="Collegamentoipertestuale"/>
                <w:noProof/>
              </w:rPr>
              <w:t>Indicateurs de performance</w:t>
            </w:r>
            <w:r w:rsidR="00AA5A4C">
              <w:rPr>
                <w:noProof/>
                <w:webHidden/>
              </w:rPr>
              <w:tab/>
            </w:r>
            <w:r w:rsidR="00AA5A4C">
              <w:rPr>
                <w:noProof/>
                <w:webHidden/>
              </w:rPr>
              <w:fldChar w:fldCharType="begin"/>
            </w:r>
            <w:r w:rsidR="00AA5A4C">
              <w:rPr>
                <w:noProof/>
                <w:webHidden/>
              </w:rPr>
              <w:instrText xml:space="preserve"> PAGEREF _Toc200114704 \h </w:instrText>
            </w:r>
            <w:r w:rsidR="00AA5A4C">
              <w:rPr>
                <w:noProof/>
                <w:webHidden/>
              </w:rPr>
            </w:r>
            <w:r w:rsidR="00AA5A4C">
              <w:rPr>
                <w:noProof/>
                <w:webHidden/>
              </w:rPr>
              <w:fldChar w:fldCharType="separate"/>
            </w:r>
            <w:r w:rsidR="00AA5A4C">
              <w:rPr>
                <w:noProof/>
                <w:webHidden/>
              </w:rPr>
              <w:t>20</w:t>
            </w:r>
            <w:r w:rsidR="00AA5A4C">
              <w:rPr>
                <w:noProof/>
                <w:webHidden/>
              </w:rPr>
              <w:fldChar w:fldCharType="end"/>
            </w:r>
          </w:hyperlink>
        </w:p>
        <w:p w14:paraId="5A6DE7A3"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705" w:history="1">
            <w:r w:rsidR="00AA5A4C" w:rsidRPr="00791754">
              <w:rPr>
                <w:rStyle w:val="Collegamentoipertestuale"/>
                <w:noProof/>
              </w:rPr>
              <w:t>12</w:t>
            </w:r>
            <w:r w:rsidR="00AA5A4C">
              <w:rPr>
                <w:rFonts w:asciiTheme="minorHAnsi" w:eastAsiaTheme="minorEastAsia" w:hAnsiTheme="minorHAnsi" w:cstheme="minorBidi"/>
                <w:noProof/>
                <w:sz w:val="22"/>
                <w:szCs w:val="22"/>
              </w:rPr>
              <w:tab/>
            </w:r>
            <w:r w:rsidR="00AA5A4C" w:rsidRPr="00791754">
              <w:rPr>
                <w:rStyle w:val="Collegamentoipertestuale"/>
                <w:noProof/>
              </w:rPr>
              <w:t>Infrastructures disponibles</w:t>
            </w:r>
            <w:r w:rsidR="00AA5A4C">
              <w:rPr>
                <w:noProof/>
                <w:webHidden/>
              </w:rPr>
              <w:tab/>
            </w:r>
            <w:r w:rsidR="00AA5A4C">
              <w:rPr>
                <w:noProof/>
                <w:webHidden/>
              </w:rPr>
              <w:fldChar w:fldCharType="begin"/>
            </w:r>
            <w:r w:rsidR="00AA5A4C">
              <w:rPr>
                <w:noProof/>
                <w:webHidden/>
              </w:rPr>
              <w:instrText xml:space="preserve"> PAGEREF _Toc200114705 \h </w:instrText>
            </w:r>
            <w:r w:rsidR="00AA5A4C">
              <w:rPr>
                <w:noProof/>
                <w:webHidden/>
              </w:rPr>
            </w:r>
            <w:r w:rsidR="00AA5A4C">
              <w:rPr>
                <w:noProof/>
                <w:webHidden/>
              </w:rPr>
              <w:fldChar w:fldCharType="separate"/>
            </w:r>
            <w:r w:rsidR="00AA5A4C">
              <w:rPr>
                <w:noProof/>
                <w:webHidden/>
              </w:rPr>
              <w:t>22</w:t>
            </w:r>
            <w:r w:rsidR="00AA5A4C">
              <w:rPr>
                <w:noProof/>
                <w:webHidden/>
              </w:rPr>
              <w:fldChar w:fldCharType="end"/>
            </w:r>
          </w:hyperlink>
        </w:p>
        <w:p w14:paraId="455C3B0C" w14:textId="77777777" w:rsidR="00AA5A4C" w:rsidRDefault="00000000">
          <w:pPr>
            <w:pStyle w:val="Sommario1"/>
            <w:tabs>
              <w:tab w:val="left" w:pos="480"/>
              <w:tab w:val="right" w:pos="9062"/>
            </w:tabs>
            <w:rPr>
              <w:rFonts w:asciiTheme="minorHAnsi" w:eastAsiaTheme="minorEastAsia" w:hAnsiTheme="minorHAnsi" w:cstheme="minorBidi"/>
              <w:noProof/>
              <w:sz w:val="22"/>
              <w:szCs w:val="22"/>
            </w:rPr>
          </w:pPr>
          <w:hyperlink w:anchor="_Toc200114706" w:history="1">
            <w:r w:rsidR="00AA5A4C" w:rsidRPr="00791754">
              <w:rPr>
                <w:rStyle w:val="Collegamentoipertestuale"/>
                <w:noProof/>
              </w:rPr>
              <w:t>13</w:t>
            </w:r>
            <w:r w:rsidR="00AA5A4C">
              <w:rPr>
                <w:rFonts w:asciiTheme="minorHAnsi" w:eastAsiaTheme="minorEastAsia" w:hAnsiTheme="minorHAnsi" w:cstheme="minorBidi"/>
                <w:noProof/>
                <w:sz w:val="22"/>
                <w:szCs w:val="22"/>
              </w:rPr>
              <w:tab/>
            </w:r>
            <w:r w:rsidR="00AA5A4C" w:rsidRPr="00791754">
              <w:rPr>
                <w:rStyle w:val="Collegamentoipertestuale"/>
                <w:noProof/>
              </w:rPr>
              <w:t>Annexes</w:t>
            </w:r>
            <w:r w:rsidR="00AA5A4C">
              <w:rPr>
                <w:noProof/>
                <w:webHidden/>
              </w:rPr>
              <w:tab/>
            </w:r>
            <w:r w:rsidR="00AA5A4C">
              <w:rPr>
                <w:noProof/>
                <w:webHidden/>
              </w:rPr>
              <w:fldChar w:fldCharType="begin"/>
            </w:r>
            <w:r w:rsidR="00AA5A4C">
              <w:rPr>
                <w:noProof/>
                <w:webHidden/>
              </w:rPr>
              <w:instrText xml:space="preserve"> PAGEREF _Toc200114706 \h </w:instrText>
            </w:r>
            <w:r w:rsidR="00AA5A4C">
              <w:rPr>
                <w:noProof/>
                <w:webHidden/>
              </w:rPr>
            </w:r>
            <w:r w:rsidR="00AA5A4C">
              <w:rPr>
                <w:noProof/>
                <w:webHidden/>
              </w:rPr>
              <w:fldChar w:fldCharType="separate"/>
            </w:r>
            <w:r w:rsidR="00AA5A4C">
              <w:rPr>
                <w:noProof/>
                <w:webHidden/>
              </w:rPr>
              <w:t>22</w:t>
            </w:r>
            <w:r w:rsidR="00AA5A4C">
              <w:rPr>
                <w:noProof/>
                <w:webHidden/>
              </w:rPr>
              <w:fldChar w:fldCharType="end"/>
            </w:r>
          </w:hyperlink>
        </w:p>
        <w:p w14:paraId="7E52053C" w14:textId="77777777" w:rsidR="00AA5A4C" w:rsidRDefault="00000000">
          <w:pPr>
            <w:pStyle w:val="Sommario2"/>
            <w:tabs>
              <w:tab w:val="right" w:pos="9062"/>
            </w:tabs>
            <w:rPr>
              <w:rFonts w:asciiTheme="minorHAnsi" w:eastAsiaTheme="minorEastAsia" w:hAnsiTheme="minorHAnsi" w:cstheme="minorBidi"/>
              <w:noProof/>
              <w:sz w:val="22"/>
              <w:szCs w:val="22"/>
            </w:rPr>
          </w:pPr>
          <w:hyperlink w:anchor="_Toc200114707" w:history="1">
            <w:r w:rsidR="00AA5A4C" w:rsidRPr="00791754">
              <w:rPr>
                <w:rStyle w:val="Collegamentoipertestuale"/>
                <w:noProof/>
              </w:rPr>
              <w:t>Annexe 1 - Matrice du cadre logique</w:t>
            </w:r>
            <w:r w:rsidR="00AA5A4C">
              <w:rPr>
                <w:noProof/>
                <w:webHidden/>
              </w:rPr>
              <w:tab/>
            </w:r>
            <w:r w:rsidR="00AA5A4C">
              <w:rPr>
                <w:noProof/>
                <w:webHidden/>
              </w:rPr>
              <w:fldChar w:fldCharType="begin"/>
            </w:r>
            <w:r w:rsidR="00AA5A4C">
              <w:rPr>
                <w:noProof/>
                <w:webHidden/>
              </w:rPr>
              <w:instrText xml:space="preserve"> PAGEREF _Toc200114707 \h </w:instrText>
            </w:r>
            <w:r w:rsidR="00AA5A4C">
              <w:rPr>
                <w:noProof/>
                <w:webHidden/>
              </w:rPr>
            </w:r>
            <w:r w:rsidR="00AA5A4C">
              <w:rPr>
                <w:noProof/>
                <w:webHidden/>
              </w:rPr>
              <w:fldChar w:fldCharType="separate"/>
            </w:r>
            <w:r w:rsidR="00AA5A4C">
              <w:rPr>
                <w:noProof/>
                <w:webHidden/>
              </w:rPr>
              <w:t>23</w:t>
            </w:r>
            <w:r w:rsidR="00AA5A4C">
              <w:rPr>
                <w:noProof/>
                <w:webHidden/>
              </w:rPr>
              <w:fldChar w:fldCharType="end"/>
            </w:r>
          </w:hyperlink>
        </w:p>
        <w:p w14:paraId="2B9FD2BF" w14:textId="77777777" w:rsidR="00AA5A4C" w:rsidRDefault="00000000">
          <w:pPr>
            <w:pStyle w:val="Sommario2"/>
            <w:tabs>
              <w:tab w:val="right" w:pos="9062"/>
            </w:tabs>
            <w:rPr>
              <w:rFonts w:asciiTheme="minorHAnsi" w:eastAsiaTheme="minorEastAsia" w:hAnsiTheme="minorHAnsi" w:cstheme="minorBidi"/>
              <w:noProof/>
              <w:sz w:val="22"/>
              <w:szCs w:val="22"/>
            </w:rPr>
          </w:pPr>
          <w:hyperlink w:anchor="_Toc200114708" w:history="1">
            <w:r w:rsidR="00AA5A4C" w:rsidRPr="00791754">
              <w:rPr>
                <w:rStyle w:val="Collegamentoipertestuale"/>
                <w:noProof/>
              </w:rPr>
              <w:t>Annexe 2 - Textes juridiques applicables</w:t>
            </w:r>
            <w:r w:rsidR="00AA5A4C">
              <w:rPr>
                <w:noProof/>
                <w:webHidden/>
              </w:rPr>
              <w:tab/>
            </w:r>
            <w:r w:rsidR="00AA5A4C">
              <w:rPr>
                <w:noProof/>
                <w:webHidden/>
              </w:rPr>
              <w:fldChar w:fldCharType="begin"/>
            </w:r>
            <w:r w:rsidR="00AA5A4C">
              <w:rPr>
                <w:noProof/>
                <w:webHidden/>
              </w:rPr>
              <w:instrText xml:space="preserve"> PAGEREF _Toc200114708 \h </w:instrText>
            </w:r>
            <w:r w:rsidR="00AA5A4C">
              <w:rPr>
                <w:noProof/>
                <w:webHidden/>
              </w:rPr>
            </w:r>
            <w:r w:rsidR="00AA5A4C">
              <w:rPr>
                <w:noProof/>
                <w:webHidden/>
              </w:rPr>
              <w:fldChar w:fldCharType="separate"/>
            </w:r>
            <w:r w:rsidR="00AA5A4C">
              <w:rPr>
                <w:noProof/>
                <w:webHidden/>
              </w:rPr>
              <w:t>27</w:t>
            </w:r>
            <w:r w:rsidR="00AA5A4C">
              <w:rPr>
                <w:noProof/>
                <w:webHidden/>
              </w:rPr>
              <w:fldChar w:fldCharType="end"/>
            </w:r>
          </w:hyperlink>
        </w:p>
        <w:p w14:paraId="71581604" w14:textId="77777777" w:rsidR="00737C80" w:rsidRPr="00EA2174" w:rsidRDefault="002E7DEE">
          <w:r w:rsidRPr="00EA2174">
            <w:fldChar w:fldCharType="end"/>
          </w:r>
        </w:p>
      </w:sdtContent>
    </w:sdt>
    <w:p w14:paraId="5B519A20" w14:textId="77777777" w:rsidR="00737C80" w:rsidRPr="00EA2174" w:rsidRDefault="002E7DEE">
      <w:pPr>
        <w:spacing w:after="120"/>
      </w:pPr>
      <w:r w:rsidRPr="00EA2174">
        <w:br w:type="page"/>
      </w:r>
    </w:p>
    <w:p w14:paraId="6492B56F" w14:textId="77777777" w:rsidR="00737C80" w:rsidRPr="00EA2174" w:rsidRDefault="00737C80">
      <w:pPr>
        <w:spacing w:after="200" w:line="276" w:lineRule="auto"/>
      </w:pPr>
    </w:p>
    <w:p w14:paraId="6B474E2B" w14:textId="77777777" w:rsidR="00737C80" w:rsidRPr="00EA2174" w:rsidRDefault="002E7DEE">
      <w:pPr>
        <w:spacing w:line="480" w:lineRule="auto"/>
        <w:rPr>
          <w:b/>
        </w:rPr>
      </w:pPr>
      <w:r w:rsidRPr="00EA2174">
        <w:rPr>
          <w:b/>
        </w:rPr>
        <w:t>ABREVIATIONS</w:t>
      </w:r>
    </w:p>
    <w:p w14:paraId="298EC893" w14:textId="77777777" w:rsidR="00737C80" w:rsidRPr="00EA2174" w:rsidRDefault="00737C80">
      <w:pPr>
        <w:spacing w:after="200" w:line="480" w:lineRule="auto"/>
        <w:rPr>
          <w:b/>
        </w:rPr>
      </w:pPr>
    </w:p>
    <w:tbl>
      <w:tblPr>
        <w:tblStyle w:val="10"/>
        <w:tblW w:w="90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3"/>
        <w:gridCol w:w="7649"/>
      </w:tblGrid>
      <w:tr w:rsidR="00C145A5" w:rsidRPr="00EA2174" w14:paraId="583E86A3" w14:textId="77777777">
        <w:tc>
          <w:tcPr>
            <w:tcW w:w="1413" w:type="dxa"/>
          </w:tcPr>
          <w:p w14:paraId="65B17A1B" w14:textId="77777777" w:rsidR="00C145A5" w:rsidRPr="00EA2174" w:rsidRDefault="00C145A5">
            <w:pPr>
              <w:spacing w:line="360" w:lineRule="auto"/>
              <w:rPr>
                <w:rFonts w:asciiTheme="majorBidi" w:hAnsiTheme="majorBidi" w:cstheme="majorBidi"/>
                <w:sz w:val="22"/>
                <w:szCs w:val="22"/>
              </w:rPr>
            </w:pPr>
            <w:r w:rsidRPr="00EA2174">
              <w:rPr>
                <w:rFonts w:asciiTheme="majorBidi" w:hAnsiTheme="majorBidi" w:cstheme="majorBidi"/>
                <w:sz w:val="22"/>
                <w:szCs w:val="22"/>
              </w:rPr>
              <w:t>AJR</w:t>
            </w:r>
          </w:p>
        </w:tc>
        <w:tc>
          <w:tcPr>
            <w:tcW w:w="7649" w:type="dxa"/>
          </w:tcPr>
          <w:p w14:paraId="64A63B51" w14:textId="77777777" w:rsidR="00C145A5" w:rsidRPr="00EA2174" w:rsidRDefault="00C145A5">
            <w:pPr>
              <w:spacing w:line="360" w:lineRule="auto"/>
              <w:rPr>
                <w:rFonts w:asciiTheme="majorBidi" w:hAnsiTheme="majorBidi" w:cstheme="majorBidi"/>
                <w:sz w:val="22"/>
                <w:szCs w:val="22"/>
              </w:rPr>
            </w:pPr>
            <w:r w:rsidRPr="00EA2174">
              <w:rPr>
                <w:rFonts w:asciiTheme="majorBidi" w:hAnsiTheme="majorBidi" w:cstheme="majorBidi"/>
                <w:sz w:val="22"/>
                <w:szCs w:val="22"/>
              </w:rPr>
              <w:t>Agence Judicaire du Royaume</w:t>
            </w:r>
          </w:p>
        </w:tc>
      </w:tr>
      <w:tr w:rsidR="00737C80" w:rsidRPr="00EA2174" w14:paraId="48F4C060" w14:textId="77777777">
        <w:tc>
          <w:tcPr>
            <w:tcW w:w="1413" w:type="dxa"/>
          </w:tcPr>
          <w:p w14:paraId="71C010D9" w14:textId="484B690D" w:rsidR="00737C80" w:rsidRPr="00EA2174" w:rsidRDefault="002E7DEE" w:rsidP="006E29E0">
            <w:pPr>
              <w:spacing w:line="360" w:lineRule="auto"/>
              <w:rPr>
                <w:rFonts w:asciiTheme="majorBidi" w:hAnsiTheme="majorBidi" w:cstheme="majorBidi"/>
                <w:sz w:val="22"/>
                <w:szCs w:val="22"/>
              </w:rPr>
            </w:pPr>
            <w:r w:rsidRPr="00EA2174">
              <w:rPr>
                <w:rFonts w:asciiTheme="majorBidi" w:hAnsiTheme="majorBidi" w:cstheme="majorBidi"/>
                <w:sz w:val="22"/>
                <w:szCs w:val="22"/>
              </w:rPr>
              <w:t>CAP </w:t>
            </w:r>
          </w:p>
        </w:tc>
        <w:tc>
          <w:tcPr>
            <w:tcW w:w="7649" w:type="dxa"/>
          </w:tcPr>
          <w:p w14:paraId="70535BC6" w14:textId="116AF88B" w:rsidR="00737C80" w:rsidRPr="00EA2174" w:rsidRDefault="002E7DEE" w:rsidP="006E29E0">
            <w:pPr>
              <w:spacing w:line="360" w:lineRule="auto"/>
              <w:rPr>
                <w:rFonts w:asciiTheme="majorBidi" w:hAnsiTheme="majorBidi" w:cstheme="majorBidi"/>
                <w:sz w:val="22"/>
                <w:szCs w:val="22"/>
              </w:rPr>
            </w:pPr>
            <w:r w:rsidRPr="00EA2174">
              <w:rPr>
                <w:rFonts w:asciiTheme="majorBidi" w:hAnsiTheme="majorBidi" w:cstheme="majorBidi"/>
                <w:sz w:val="22"/>
                <w:szCs w:val="22"/>
              </w:rPr>
              <w:t xml:space="preserve">Cellule </w:t>
            </w:r>
            <w:r w:rsidR="006E29E0">
              <w:rPr>
                <w:rFonts w:asciiTheme="majorBidi" w:hAnsiTheme="majorBidi" w:cstheme="majorBidi"/>
                <w:sz w:val="22"/>
                <w:szCs w:val="22"/>
              </w:rPr>
              <w:t>d’accompagnement des programmes</w:t>
            </w:r>
          </w:p>
        </w:tc>
      </w:tr>
      <w:tr w:rsidR="00737C80" w:rsidRPr="00EA2174" w14:paraId="1F51CB5A" w14:textId="77777777">
        <w:tc>
          <w:tcPr>
            <w:tcW w:w="1413" w:type="dxa"/>
          </w:tcPr>
          <w:p w14:paraId="7085100B" w14:textId="77777777" w:rsidR="00737C80" w:rsidRPr="00EA2174" w:rsidRDefault="007A628A">
            <w:pPr>
              <w:spacing w:line="360" w:lineRule="auto"/>
              <w:rPr>
                <w:rFonts w:asciiTheme="majorBidi" w:hAnsiTheme="majorBidi" w:cstheme="majorBidi"/>
                <w:sz w:val="22"/>
                <w:szCs w:val="22"/>
              </w:rPr>
            </w:pPr>
            <w:r w:rsidRPr="00EA2174">
              <w:rPr>
                <w:rFonts w:asciiTheme="majorBidi" w:hAnsiTheme="majorBidi" w:cstheme="majorBidi"/>
                <w:sz w:val="22"/>
                <w:szCs w:val="22"/>
              </w:rPr>
              <w:t>COPIL</w:t>
            </w:r>
          </w:p>
        </w:tc>
        <w:tc>
          <w:tcPr>
            <w:tcW w:w="7649" w:type="dxa"/>
          </w:tcPr>
          <w:p w14:paraId="3BC568C9"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Comité de pilotage du projet</w:t>
            </w:r>
          </w:p>
        </w:tc>
      </w:tr>
      <w:tr w:rsidR="00737C80" w:rsidRPr="00EA2174" w14:paraId="6481BC48" w14:textId="77777777">
        <w:tc>
          <w:tcPr>
            <w:tcW w:w="1413" w:type="dxa"/>
          </w:tcPr>
          <w:p w14:paraId="1FF2F77E"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CP</w:t>
            </w:r>
          </w:p>
        </w:tc>
        <w:tc>
          <w:tcPr>
            <w:tcW w:w="7649" w:type="dxa"/>
          </w:tcPr>
          <w:p w14:paraId="470D4E4D"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Chef de Projet</w:t>
            </w:r>
          </w:p>
        </w:tc>
      </w:tr>
      <w:tr w:rsidR="00737C80" w:rsidRPr="00EA2174" w14:paraId="7926B35A" w14:textId="77777777">
        <w:tc>
          <w:tcPr>
            <w:tcW w:w="1413" w:type="dxa"/>
          </w:tcPr>
          <w:p w14:paraId="60210DF7"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CRJ</w:t>
            </w:r>
          </w:p>
        </w:tc>
        <w:tc>
          <w:tcPr>
            <w:tcW w:w="7649" w:type="dxa"/>
          </w:tcPr>
          <w:p w14:paraId="6F21A793"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Conseiller Résident du Jumelage</w:t>
            </w:r>
          </w:p>
        </w:tc>
      </w:tr>
      <w:tr w:rsidR="00737C80" w:rsidRPr="00EA2174" w14:paraId="787D3C6A" w14:textId="77777777">
        <w:tc>
          <w:tcPr>
            <w:tcW w:w="1413" w:type="dxa"/>
          </w:tcPr>
          <w:p w14:paraId="5CBB74C3"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DUE</w:t>
            </w:r>
          </w:p>
        </w:tc>
        <w:tc>
          <w:tcPr>
            <w:tcW w:w="7649" w:type="dxa"/>
          </w:tcPr>
          <w:p w14:paraId="1E7B3A6D"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Délégation de l’Union Européenne</w:t>
            </w:r>
          </w:p>
        </w:tc>
      </w:tr>
      <w:tr w:rsidR="00737C80" w:rsidRPr="00EA2174" w14:paraId="5E18E525" w14:textId="77777777">
        <w:tc>
          <w:tcPr>
            <w:tcW w:w="1413" w:type="dxa"/>
          </w:tcPr>
          <w:p w14:paraId="7783A005"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ECT</w:t>
            </w:r>
          </w:p>
        </w:tc>
        <w:tc>
          <w:tcPr>
            <w:tcW w:w="7649" w:type="dxa"/>
          </w:tcPr>
          <w:p w14:paraId="0F9EE737"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Expert Court Terme</w:t>
            </w:r>
          </w:p>
        </w:tc>
      </w:tr>
      <w:tr w:rsidR="00737C80" w:rsidRPr="00EA2174" w14:paraId="47E8497B" w14:textId="77777777">
        <w:tc>
          <w:tcPr>
            <w:tcW w:w="1413" w:type="dxa"/>
          </w:tcPr>
          <w:p w14:paraId="7C1BB72C"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EM</w:t>
            </w:r>
          </w:p>
        </w:tc>
        <w:tc>
          <w:tcPr>
            <w:tcW w:w="7649" w:type="dxa"/>
          </w:tcPr>
          <w:p w14:paraId="4E4F010E"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Etat membre (de l’Union européenne)</w:t>
            </w:r>
          </w:p>
        </w:tc>
      </w:tr>
      <w:tr w:rsidR="00737C80" w:rsidRPr="00EA2174" w14:paraId="1CDC01CB" w14:textId="77777777">
        <w:tc>
          <w:tcPr>
            <w:tcW w:w="1413" w:type="dxa"/>
          </w:tcPr>
          <w:p w14:paraId="3557D3E4" w14:textId="77777777" w:rsidR="00737C80" w:rsidRPr="00EA2174" w:rsidRDefault="009D2874">
            <w:pPr>
              <w:spacing w:line="360" w:lineRule="auto"/>
              <w:rPr>
                <w:rFonts w:asciiTheme="majorBidi" w:hAnsiTheme="majorBidi" w:cstheme="majorBidi"/>
                <w:sz w:val="22"/>
                <w:szCs w:val="22"/>
              </w:rPr>
            </w:pPr>
            <w:r w:rsidRPr="00EA2174">
              <w:rPr>
                <w:rFonts w:asciiTheme="majorBidi" w:hAnsiTheme="majorBidi" w:cstheme="majorBidi"/>
                <w:sz w:val="22"/>
                <w:szCs w:val="22"/>
              </w:rPr>
              <w:t>FCT</w:t>
            </w:r>
          </w:p>
        </w:tc>
        <w:tc>
          <w:tcPr>
            <w:tcW w:w="7649" w:type="dxa"/>
          </w:tcPr>
          <w:p w14:paraId="0568B45D" w14:textId="77777777" w:rsidR="00737C80" w:rsidRPr="00EA2174" w:rsidRDefault="00D26605">
            <w:pPr>
              <w:spacing w:line="360" w:lineRule="auto"/>
              <w:rPr>
                <w:rFonts w:asciiTheme="majorBidi" w:hAnsiTheme="majorBidi" w:cstheme="majorBidi"/>
                <w:sz w:val="22"/>
                <w:szCs w:val="22"/>
              </w:rPr>
            </w:pPr>
            <w:r w:rsidRPr="00EA2174">
              <w:rPr>
                <w:rFonts w:asciiTheme="majorBidi" w:hAnsiTheme="majorBidi" w:cstheme="majorBidi"/>
                <w:sz w:val="22"/>
                <w:szCs w:val="22"/>
              </w:rPr>
              <w:t>Facilité de coopération technique</w:t>
            </w:r>
          </w:p>
        </w:tc>
      </w:tr>
      <w:tr w:rsidR="00736ECE" w:rsidRPr="00EA2174" w14:paraId="7B9BD91A" w14:textId="77777777">
        <w:tc>
          <w:tcPr>
            <w:tcW w:w="1413" w:type="dxa"/>
          </w:tcPr>
          <w:p w14:paraId="3F3D9074" w14:textId="77777777" w:rsidR="00736ECE" w:rsidRPr="00EA2174" w:rsidRDefault="00736ECE">
            <w:pPr>
              <w:spacing w:line="360" w:lineRule="auto"/>
              <w:rPr>
                <w:rFonts w:asciiTheme="majorBidi" w:hAnsiTheme="majorBidi" w:cstheme="majorBidi"/>
                <w:sz w:val="22"/>
                <w:szCs w:val="22"/>
              </w:rPr>
            </w:pPr>
            <w:r w:rsidRPr="00EA2174">
              <w:rPr>
                <w:rFonts w:asciiTheme="majorBidi" w:hAnsiTheme="majorBidi" w:cstheme="majorBidi"/>
                <w:sz w:val="22"/>
                <w:szCs w:val="22"/>
              </w:rPr>
              <w:t>MEF</w:t>
            </w:r>
          </w:p>
        </w:tc>
        <w:tc>
          <w:tcPr>
            <w:tcW w:w="7649" w:type="dxa"/>
          </w:tcPr>
          <w:p w14:paraId="37DB8576" w14:textId="77777777" w:rsidR="00736ECE" w:rsidRPr="00EA2174" w:rsidRDefault="00736ECE">
            <w:pPr>
              <w:spacing w:line="360" w:lineRule="auto"/>
              <w:rPr>
                <w:rFonts w:asciiTheme="majorBidi" w:hAnsiTheme="majorBidi" w:cstheme="majorBidi"/>
                <w:sz w:val="22"/>
                <w:szCs w:val="22"/>
              </w:rPr>
            </w:pPr>
            <w:r w:rsidRPr="00EA2174">
              <w:rPr>
                <w:rFonts w:asciiTheme="majorBidi" w:hAnsiTheme="majorBidi" w:cstheme="majorBidi"/>
                <w:sz w:val="22"/>
                <w:szCs w:val="22"/>
              </w:rPr>
              <w:t>Ministère d’Economie et des Finances</w:t>
            </w:r>
          </w:p>
        </w:tc>
      </w:tr>
      <w:tr w:rsidR="00736ECE" w:rsidRPr="00EA2174" w14:paraId="54202241" w14:textId="77777777">
        <w:tc>
          <w:tcPr>
            <w:tcW w:w="1413" w:type="dxa"/>
          </w:tcPr>
          <w:p w14:paraId="24E4C776" w14:textId="77777777" w:rsidR="00736ECE" w:rsidRPr="00EA2174" w:rsidRDefault="00736ECE">
            <w:pPr>
              <w:spacing w:line="360" w:lineRule="auto"/>
              <w:rPr>
                <w:rFonts w:asciiTheme="majorBidi" w:hAnsiTheme="majorBidi" w:cstheme="majorBidi"/>
                <w:sz w:val="22"/>
                <w:szCs w:val="22"/>
              </w:rPr>
            </w:pPr>
            <w:r w:rsidRPr="00EA2174">
              <w:rPr>
                <w:rFonts w:asciiTheme="majorBidi" w:hAnsiTheme="majorBidi" w:cstheme="majorBidi"/>
                <w:sz w:val="22"/>
                <w:szCs w:val="22"/>
              </w:rPr>
              <w:t>ODD</w:t>
            </w:r>
          </w:p>
        </w:tc>
        <w:tc>
          <w:tcPr>
            <w:tcW w:w="7649" w:type="dxa"/>
          </w:tcPr>
          <w:p w14:paraId="77C4CE02" w14:textId="77777777" w:rsidR="00736ECE" w:rsidRPr="00EA2174" w:rsidRDefault="00736ECE" w:rsidP="00736ECE">
            <w:pPr>
              <w:spacing w:line="360" w:lineRule="auto"/>
              <w:rPr>
                <w:rFonts w:asciiTheme="majorBidi" w:hAnsiTheme="majorBidi" w:cstheme="majorBidi"/>
                <w:sz w:val="22"/>
                <w:szCs w:val="22"/>
              </w:rPr>
            </w:pPr>
            <w:r w:rsidRPr="00EA2174">
              <w:rPr>
                <w:rFonts w:asciiTheme="majorBidi" w:hAnsiTheme="majorBidi" w:cstheme="majorBidi"/>
                <w:sz w:val="22"/>
                <w:szCs w:val="22"/>
              </w:rPr>
              <w:t>Objectifs de développement durable</w:t>
            </w:r>
          </w:p>
        </w:tc>
      </w:tr>
      <w:tr w:rsidR="00737C80" w:rsidRPr="00EA2174" w14:paraId="471FDC5B" w14:textId="77777777">
        <w:tc>
          <w:tcPr>
            <w:tcW w:w="1413" w:type="dxa"/>
          </w:tcPr>
          <w:p w14:paraId="6FCEF772"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PASA</w:t>
            </w:r>
          </w:p>
        </w:tc>
        <w:tc>
          <w:tcPr>
            <w:tcW w:w="7649" w:type="dxa"/>
          </w:tcPr>
          <w:p w14:paraId="71F7B677"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 xml:space="preserve">Plan d'action pour la mise en œuvre du Statut Avancé </w:t>
            </w:r>
          </w:p>
        </w:tc>
      </w:tr>
      <w:tr w:rsidR="00737C80" w:rsidRPr="00EA2174" w14:paraId="7EEEA034" w14:textId="77777777">
        <w:tc>
          <w:tcPr>
            <w:tcW w:w="1413" w:type="dxa"/>
            <w:shd w:val="clear" w:color="auto" w:fill="auto"/>
          </w:tcPr>
          <w:p w14:paraId="2C5562E8"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RSA</w:t>
            </w:r>
          </w:p>
        </w:tc>
        <w:tc>
          <w:tcPr>
            <w:tcW w:w="7649" w:type="dxa"/>
          </w:tcPr>
          <w:p w14:paraId="62C01B92"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Réussir le statut avancé</w:t>
            </w:r>
          </w:p>
        </w:tc>
      </w:tr>
      <w:tr w:rsidR="00737C80" w:rsidRPr="00EA2174" w14:paraId="33D6116C" w14:textId="77777777">
        <w:tc>
          <w:tcPr>
            <w:tcW w:w="1413" w:type="dxa"/>
          </w:tcPr>
          <w:p w14:paraId="2384E7E0"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UE</w:t>
            </w:r>
          </w:p>
        </w:tc>
        <w:tc>
          <w:tcPr>
            <w:tcW w:w="7649" w:type="dxa"/>
          </w:tcPr>
          <w:p w14:paraId="3CC02EF4" w14:textId="77777777" w:rsidR="00737C80" w:rsidRPr="00EA2174" w:rsidRDefault="002E7DEE">
            <w:pPr>
              <w:spacing w:line="360" w:lineRule="auto"/>
              <w:rPr>
                <w:rFonts w:asciiTheme="majorBidi" w:hAnsiTheme="majorBidi" w:cstheme="majorBidi"/>
                <w:sz w:val="22"/>
                <w:szCs w:val="22"/>
              </w:rPr>
            </w:pPr>
            <w:r w:rsidRPr="00EA2174">
              <w:rPr>
                <w:rFonts w:asciiTheme="majorBidi" w:hAnsiTheme="majorBidi" w:cstheme="majorBidi"/>
                <w:sz w:val="22"/>
                <w:szCs w:val="22"/>
              </w:rPr>
              <w:t>Union Européenne</w:t>
            </w:r>
          </w:p>
        </w:tc>
      </w:tr>
    </w:tbl>
    <w:p w14:paraId="36671A5A" w14:textId="77777777" w:rsidR="00737C80" w:rsidRPr="00EA2174" w:rsidRDefault="00737C80">
      <w:pPr>
        <w:spacing w:line="480" w:lineRule="auto"/>
      </w:pPr>
    </w:p>
    <w:p w14:paraId="2C6AB86D" w14:textId="77777777" w:rsidR="00737C80" w:rsidRPr="00EA2174" w:rsidRDefault="00737C80"/>
    <w:p w14:paraId="1531FD40" w14:textId="77777777" w:rsidR="00737C80" w:rsidRPr="00EA2174" w:rsidRDefault="00737C80">
      <w:pPr>
        <w:ind w:left="540" w:hanging="540"/>
      </w:pPr>
    </w:p>
    <w:p w14:paraId="39CD36F3" w14:textId="77777777" w:rsidR="00737C80" w:rsidRPr="00EA2174" w:rsidRDefault="00737C80">
      <w:pPr>
        <w:ind w:left="540" w:hanging="540"/>
      </w:pPr>
    </w:p>
    <w:p w14:paraId="10C1D2AF" w14:textId="77777777" w:rsidR="00737C80" w:rsidRPr="00EA2174" w:rsidRDefault="00737C80">
      <w:pPr>
        <w:ind w:left="540" w:hanging="540"/>
        <w:rPr>
          <w:b/>
        </w:rPr>
      </w:pPr>
    </w:p>
    <w:p w14:paraId="76BC4535" w14:textId="77777777" w:rsidR="0067360B" w:rsidRPr="00EA2174" w:rsidRDefault="0067360B">
      <w:pPr>
        <w:ind w:left="540" w:hanging="540"/>
        <w:rPr>
          <w:b/>
        </w:rPr>
      </w:pPr>
    </w:p>
    <w:p w14:paraId="2FB806F4" w14:textId="77777777" w:rsidR="0067360B" w:rsidRPr="00EA2174" w:rsidRDefault="0067360B">
      <w:pPr>
        <w:ind w:left="540" w:hanging="540"/>
        <w:rPr>
          <w:b/>
        </w:rPr>
      </w:pPr>
    </w:p>
    <w:p w14:paraId="41EF8C7E" w14:textId="77777777" w:rsidR="0067360B" w:rsidRPr="00EA2174" w:rsidRDefault="0067360B">
      <w:pPr>
        <w:ind w:left="540" w:hanging="540"/>
        <w:rPr>
          <w:b/>
        </w:rPr>
      </w:pPr>
    </w:p>
    <w:p w14:paraId="1DED8D0D" w14:textId="77777777" w:rsidR="0067360B" w:rsidRPr="00EA2174" w:rsidRDefault="0067360B">
      <w:pPr>
        <w:ind w:left="540" w:hanging="540"/>
        <w:rPr>
          <w:b/>
        </w:rPr>
      </w:pPr>
    </w:p>
    <w:p w14:paraId="3D48E5F1" w14:textId="77777777" w:rsidR="0067360B" w:rsidRPr="00EA2174" w:rsidRDefault="0067360B">
      <w:pPr>
        <w:ind w:left="540" w:hanging="540"/>
        <w:rPr>
          <w:b/>
        </w:rPr>
      </w:pPr>
    </w:p>
    <w:p w14:paraId="30AA2D90" w14:textId="77777777" w:rsidR="0067360B" w:rsidRPr="00EA2174" w:rsidRDefault="0067360B">
      <w:pPr>
        <w:ind w:left="540" w:hanging="540"/>
        <w:rPr>
          <w:b/>
        </w:rPr>
      </w:pPr>
    </w:p>
    <w:p w14:paraId="0BA2AD14" w14:textId="77777777" w:rsidR="0067360B" w:rsidRPr="00EA2174" w:rsidRDefault="0067360B">
      <w:pPr>
        <w:ind w:left="540" w:hanging="540"/>
        <w:rPr>
          <w:b/>
        </w:rPr>
      </w:pPr>
    </w:p>
    <w:p w14:paraId="7AD6A1D8" w14:textId="77777777" w:rsidR="0067360B" w:rsidRPr="00EA2174" w:rsidRDefault="0067360B">
      <w:pPr>
        <w:ind w:left="540" w:hanging="540"/>
        <w:rPr>
          <w:b/>
        </w:rPr>
      </w:pPr>
    </w:p>
    <w:p w14:paraId="170BC38C" w14:textId="77777777" w:rsidR="0067360B" w:rsidRPr="00EA2174" w:rsidRDefault="0067360B">
      <w:pPr>
        <w:ind w:left="540" w:hanging="540"/>
        <w:rPr>
          <w:b/>
        </w:rPr>
      </w:pPr>
    </w:p>
    <w:p w14:paraId="395990E0" w14:textId="77777777" w:rsidR="0067360B" w:rsidRPr="00EA2174" w:rsidRDefault="0067360B">
      <w:pPr>
        <w:ind w:left="540" w:hanging="540"/>
        <w:rPr>
          <w:b/>
        </w:rPr>
      </w:pPr>
    </w:p>
    <w:p w14:paraId="3C17B200" w14:textId="77777777" w:rsidR="0067360B" w:rsidRPr="00EA2174" w:rsidRDefault="0067360B">
      <w:pPr>
        <w:ind w:left="540" w:hanging="540"/>
        <w:rPr>
          <w:b/>
        </w:rPr>
      </w:pPr>
    </w:p>
    <w:p w14:paraId="74146E8E" w14:textId="77777777" w:rsidR="0067360B" w:rsidRPr="00EA2174" w:rsidRDefault="0067360B">
      <w:pPr>
        <w:ind w:left="540" w:hanging="540"/>
        <w:rPr>
          <w:b/>
        </w:rPr>
      </w:pPr>
    </w:p>
    <w:p w14:paraId="4EE24581" w14:textId="77777777" w:rsidR="0067360B" w:rsidRPr="00EA2174" w:rsidRDefault="0067360B">
      <w:pPr>
        <w:ind w:left="540" w:hanging="540"/>
        <w:rPr>
          <w:b/>
        </w:rPr>
      </w:pPr>
    </w:p>
    <w:p w14:paraId="599152E2" w14:textId="77777777" w:rsidR="0067360B" w:rsidRPr="00EA2174" w:rsidRDefault="0067360B">
      <w:pPr>
        <w:ind w:left="540" w:hanging="540"/>
        <w:rPr>
          <w:b/>
        </w:rPr>
      </w:pPr>
    </w:p>
    <w:p w14:paraId="37258CF5" w14:textId="77777777" w:rsidR="0067360B" w:rsidRPr="00EA2174" w:rsidRDefault="0067360B">
      <w:pPr>
        <w:ind w:left="540" w:hanging="540"/>
        <w:rPr>
          <w:b/>
        </w:rPr>
      </w:pPr>
    </w:p>
    <w:p w14:paraId="369D5936" w14:textId="77777777" w:rsidR="0067360B" w:rsidRPr="00EA2174" w:rsidRDefault="0067360B">
      <w:pPr>
        <w:ind w:left="540" w:hanging="540"/>
        <w:rPr>
          <w:b/>
        </w:rPr>
      </w:pPr>
    </w:p>
    <w:p w14:paraId="4D744E06" w14:textId="77777777" w:rsidR="0067360B" w:rsidRPr="00EA2174" w:rsidRDefault="0067360B">
      <w:pPr>
        <w:ind w:left="540" w:hanging="540"/>
        <w:rPr>
          <w:b/>
        </w:rPr>
      </w:pPr>
    </w:p>
    <w:p w14:paraId="01E21B1E" w14:textId="77777777" w:rsidR="0067360B" w:rsidRPr="00EA2174" w:rsidRDefault="0067360B">
      <w:pPr>
        <w:ind w:left="540" w:hanging="540"/>
        <w:rPr>
          <w:b/>
        </w:rPr>
      </w:pPr>
    </w:p>
    <w:p w14:paraId="5A3706B1" w14:textId="77777777" w:rsidR="0067360B" w:rsidRPr="00EA2174" w:rsidRDefault="0067360B">
      <w:pPr>
        <w:ind w:left="540" w:hanging="540"/>
        <w:rPr>
          <w:b/>
        </w:rPr>
      </w:pPr>
    </w:p>
    <w:p w14:paraId="0C08A85F" w14:textId="77777777" w:rsidR="0067360B" w:rsidRPr="00EA2174" w:rsidRDefault="0067360B">
      <w:pPr>
        <w:ind w:left="540" w:hanging="540"/>
        <w:rPr>
          <w:b/>
        </w:rPr>
      </w:pPr>
    </w:p>
    <w:p w14:paraId="432FF67D" w14:textId="77777777" w:rsidR="0067360B" w:rsidRPr="00EA2174" w:rsidRDefault="0067360B">
      <w:pPr>
        <w:ind w:left="540" w:hanging="540"/>
        <w:rPr>
          <w:b/>
        </w:rPr>
      </w:pPr>
    </w:p>
    <w:p w14:paraId="220FF92C" w14:textId="77777777" w:rsidR="0067360B" w:rsidRPr="00EA2174" w:rsidRDefault="0067360B">
      <w:pPr>
        <w:ind w:left="540" w:hanging="540"/>
        <w:rPr>
          <w:b/>
        </w:rPr>
        <w:sectPr w:rsidR="0067360B" w:rsidRPr="00EA2174">
          <w:footerReference w:type="default" r:id="rId9"/>
          <w:pgSz w:w="11907" w:h="16840"/>
          <w:pgMar w:top="851" w:right="1417" w:bottom="851" w:left="1418" w:header="680" w:footer="680" w:gutter="0"/>
          <w:pgNumType w:start="1"/>
          <w:cols w:space="720"/>
        </w:sectPr>
      </w:pPr>
    </w:p>
    <w:p w14:paraId="59D6C5B4" w14:textId="77777777" w:rsidR="00737C80" w:rsidRPr="00EA2174" w:rsidRDefault="002E7DEE" w:rsidP="002E7DEE">
      <w:pPr>
        <w:pStyle w:val="Titolo1"/>
        <w:numPr>
          <w:ilvl w:val="0"/>
          <w:numId w:val="1"/>
        </w:numPr>
        <w:pBdr>
          <w:bottom w:val="single" w:sz="4" w:space="1" w:color="auto"/>
        </w:pBdr>
      </w:pPr>
      <w:bookmarkStart w:id="1" w:name="_Toc200114660"/>
      <w:r w:rsidRPr="00EA2174">
        <w:t>Informations de base</w:t>
      </w:r>
      <w:bookmarkEnd w:id="1"/>
    </w:p>
    <w:p w14:paraId="1F6B777D" w14:textId="77777777" w:rsidR="00737C80" w:rsidRPr="00EA2174" w:rsidRDefault="002E7DEE" w:rsidP="001555DF">
      <w:pPr>
        <w:pStyle w:val="Titolo2"/>
        <w:numPr>
          <w:ilvl w:val="1"/>
          <w:numId w:val="1"/>
        </w:numPr>
        <w:spacing w:before="240"/>
        <w:ind w:left="578" w:hanging="578"/>
      </w:pPr>
      <w:bookmarkStart w:id="2" w:name="_Toc200114661"/>
      <w:r w:rsidRPr="00EA2174">
        <w:t>Programme</w:t>
      </w:r>
      <w:bookmarkEnd w:id="2"/>
    </w:p>
    <w:p w14:paraId="78D3BBDE" w14:textId="77777777" w:rsidR="00737C80" w:rsidRPr="00EA2174" w:rsidRDefault="002E7DEE" w:rsidP="00136F4A">
      <w:pPr>
        <w:jc w:val="both"/>
      </w:pPr>
      <w:r w:rsidRPr="00EA2174">
        <w:t>Programme « </w:t>
      </w:r>
      <w:r w:rsidR="00136F4A" w:rsidRPr="00EA2174">
        <w:t>Facilité de Coopération Technique (FCT)</w:t>
      </w:r>
      <w:r w:rsidRPr="00EA2174">
        <w:t xml:space="preserve"> ». </w:t>
      </w:r>
    </w:p>
    <w:p w14:paraId="6DDB1C19" w14:textId="77777777" w:rsidR="00737C80" w:rsidRPr="00EA2174" w:rsidRDefault="00136F4A" w:rsidP="00136F4A">
      <w:r w:rsidRPr="00EA2174">
        <w:t>Convention de financement NDICI-GEO-NEAR/2022/ACT-61040</w:t>
      </w:r>
      <w:r w:rsidR="002E7DEE" w:rsidRPr="00EA2174">
        <w:t>.</w:t>
      </w:r>
    </w:p>
    <w:p w14:paraId="09D1CD04" w14:textId="77777777" w:rsidR="007A4ACE" w:rsidRPr="00EA2174" w:rsidRDefault="007A4ACE">
      <w:pPr>
        <w:jc w:val="both"/>
      </w:pPr>
    </w:p>
    <w:p w14:paraId="50B2D583" w14:textId="77777777" w:rsidR="00737C80" w:rsidRPr="00EA2174" w:rsidRDefault="002E7DEE">
      <w:pPr>
        <w:jc w:val="both"/>
      </w:pPr>
      <w:r w:rsidRPr="00EA2174">
        <w:t>Ce jumelage sera établi en gestion indirecte, avec les Autorités du Maroc.</w:t>
      </w:r>
    </w:p>
    <w:p w14:paraId="77B5F23B" w14:textId="77777777" w:rsidR="00737C80" w:rsidRPr="00EA2174" w:rsidRDefault="002E7DEE" w:rsidP="001555DF">
      <w:pPr>
        <w:pStyle w:val="Titolo2"/>
        <w:numPr>
          <w:ilvl w:val="1"/>
          <w:numId w:val="1"/>
        </w:numPr>
        <w:spacing w:before="240"/>
        <w:ind w:left="578" w:hanging="578"/>
      </w:pPr>
      <w:bookmarkStart w:id="3" w:name="_Toc200114662"/>
      <w:r w:rsidRPr="00EA2174">
        <w:t>Secteur de jumelage</w:t>
      </w:r>
      <w:bookmarkEnd w:id="3"/>
      <w:r w:rsidRPr="00EA2174">
        <w:t xml:space="preserve"> </w:t>
      </w:r>
    </w:p>
    <w:p w14:paraId="1A1AB400" w14:textId="77777777" w:rsidR="00737C80" w:rsidRPr="00EA2174" w:rsidRDefault="004F3824" w:rsidP="009D2874">
      <w:r w:rsidRPr="00EA2174">
        <w:t>Justice</w:t>
      </w:r>
      <w:r w:rsidR="00D26605" w:rsidRPr="00EA2174">
        <w:t>.</w:t>
      </w:r>
      <w:r w:rsidR="00C145A5" w:rsidRPr="00EA2174">
        <w:t xml:space="preserve"> </w:t>
      </w:r>
    </w:p>
    <w:p w14:paraId="0D783381" w14:textId="77777777" w:rsidR="00737C80" w:rsidRPr="00EA2174" w:rsidRDefault="002E7DEE" w:rsidP="001555DF">
      <w:pPr>
        <w:pStyle w:val="Titolo2"/>
        <w:numPr>
          <w:ilvl w:val="1"/>
          <w:numId w:val="1"/>
        </w:numPr>
        <w:spacing w:before="240"/>
        <w:ind w:left="578" w:hanging="578"/>
      </w:pPr>
      <w:bookmarkStart w:id="4" w:name="_Toc200114663"/>
      <w:r w:rsidRPr="00EA2174">
        <w:t>Budget financé par l’UE</w:t>
      </w:r>
      <w:bookmarkEnd w:id="4"/>
      <w:r w:rsidRPr="00EA2174">
        <w:t xml:space="preserve"> </w:t>
      </w:r>
    </w:p>
    <w:p w14:paraId="575C84A0" w14:textId="546FE9F8" w:rsidR="00737C80" w:rsidRPr="00EA2174" w:rsidRDefault="002E7DEE" w:rsidP="001B3D4F">
      <w:r w:rsidRPr="00EA2174">
        <w:t xml:space="preserve">Le montant </w:t>
      </w:r>
      <w:r w:rsidR="00E126F4" w:rsidRPr="00EA2174">
        <w:t>maxim</w:t>
      </w:r>
      <w:r w:rsidR="001E17A8" w:rsidRPr="00EA2174">
        <w:t xml:space="preserve">al de la subvention est de </w:t>
      </w:r>
      <w:r w:rsidR="00255BEE">
        <w:t>1</w:t>
      </w:r>
      <w:r w:rsidR="002D4415">
        <w:t xml:space="preserve"> </w:t>
      </w:r>
      <w:r w:rsidR="00255BEE">
        <w:t>0</w:t>
      </w:r>
      <w:r w:rsidR="001B3D4F" w:rsidRPr="00EA2174">
        <w:t>00 000</w:t>
      </w:r>
      <w:r w:rsidRPr="00EA2174">
        <w:rPr>
          <w:color w:val="FF0000"/>
        </w:rPr>
        <w:t xml:space="preserve"> </w:t>
      </w:r>
      <w:r w:rsidRPr="00EA2174">
        <w:t>d’Euros.</w:t>
      </w:r>
    </w:p>
    <w:p w14:paraId="1358C0C6" w14:textId="77777777" w:rsidR="00737C80" w:rsidRPr="00EA2174" w:rsidRDefault="002E7DEE" w:rsidP="001555DF">
      <w:pPr>
        <w:pStyle w:val="Titolo2"/>
        <w:numPr>
          <w:ilvl w:val="1"/>
          <w:numId w:val="1"/>
        </w:numPr>
        <w:spacing w:before="240"/>
        <w:ind w:left="578" w:hanging="578"/>
      </w:pPr>
      <w:bookmarkStart w:id="5" w:name="_Toc200114664"/>
      <w:r w:rsidRPr="00EA2174">
        <w:t>Objectifs de développement durable (ODD)</w:t>
      </w:r>
      <w:bookmarkEnd w:id="5"/>
    </w:p>
    <w:p w14:paraId="4EE82CD1" w14:textId="77777777" w:rsidR="00E73BED" w:rsidRPr="00EA2174" w:rsidRDefault="002E7DEE" w:rsidP="009D2874">
      <w:pPr>
        <w:jc w:val="both"/>
      </w:pPr>
      <w:r w:rsidRPr="00EA2174">
        <w:t xml:space="preserve">La mise en œuvre de l’Agenda 2030 de développement des Nations Unies constitue une réelle opportunité pour accélérer la dynamique de transformation du modèle de développement du Maroc et d’ancrage de la démocratie participative au niveau territorial. </w:t>
      </w:r>
    </w:p>
    <w:p w14:paraId="3C0C334E" w14:textId="27493245" w:rsidR="00737C80" w:rsidRPr="00EA2174" w:rsidRDefault="002E7DEE" w:rsidP="009D2874">
      <w:pPr>
        <w:jc w:val="both"/>
      </w:pPr>
      <w:r w:rsidRPr="00EA2174">
        <w:t xml:space="preserve">Les objectifs de développement durable (ODD) et leurs cibles (sous objectifs) forment la clé de voûte de l’Agenda 2030. </w:t>
      </w:r>
      <w:r w:rsidR="009D2874" w:rsidRPr="00EA2174">
        <w:t xml:space="preserve">La gestion du contentieux de l’État est </w:t>
      </w:r>
      <w:r w:rsidR="00C22019" w:rsidRPr="00EA2174">
        <w:t>ciblé</w:t>
      </w:r>
      <w:r w:rsidR="00C22019">
        <w:t>e</w:t>
      </w:r>
      <w:r w:rsidR="00C22019" w:rsidRPr="00EA2174">
        <w:t xml:space="preserve"> </w:t>
      </w:r>
      <w:r w:rsidRPr="00EA2174">
        <w:t>par plusieurs ODD</w:t>
      </w:r>
      <w:r w:rsidR="009D2874" w:rsidRPr="00EA2174">
        <w:t>, dont notamment</w:t>
      </w:r>
      <w:r w:rsidRPr="00EA2174">
        <w:t> :</w:t>
      </w:r>
    </w:p>
    <w:p w14:paraId="3B1907F6" w14:textId="77777777" w:rsidR="00737C80" w:rsidRPr="00EA2174" w:rsidRDefault="002E7DEE" w:rsidP="00280345">
      <w:pPr>
        <w:numPr>
          <w:ilvl w:val="0"/>
          <w:numId w:val="3"/>
        </w:numPr>
        <w:pBdr>
          <w:top w:val="nil"/>
          <w:left w:val="nil"/>
          <w:bottom w:val="nil"/>
          <w:right w:val="nil"/>
          <w:between w:val="nil"/>
        </w:pBdr>
        <w:ind w:left="567" w:hanging="207"/>
        <w:jc w:val="both"/>
      </w:pPr>
      <w:r w:rsidRPr="00EA2174">
        <w:t xml:space="preserve">ODD </w:t>
      </w:r>
      <w:r w:rsidR="009D2874" w:rsidRPr="00EA2174">
        <w:t>n°16</w:t>
      </w:r>
      <w:r w:rsidRPr="00EA2174">
        <w:t xml:space="preserve"> : </w:t>
      </w:r>
      <w:r w:rsidR="009D2874" w:rsidRPr="00EA2174">
        <w:rPr>
          <w:b/>
        </w:rPr>
        <w:t>Paix, justice et institutions efficaces</w:t>
      </w:r>
      <w:r w:rsidR="00B86385" w:rsidRPr="00EA2174">
        <w:t xml:space="preserve"> qui vise à p</w:t>
      </w:r>
      <w:r w:rsidR="009D2874" w:rsidRPr="00EA2174">
        <w:t>romouvoir l’avènement de sociétés pacifiques et inclusives aux fins du développement durable, assurer l’accès de tous à la justice et mettre en place, à tous les niveaux, des institutions efficaces, responsables et ouvertes à tous.</w:t>
      </w:r>
    </w:p>
    <w:p w14:paraId="4A532CED" w14:textId="77777777" w:rsidR="00737C80" w:rsidRPr="00EA2174" w:rsidRDefault="00737C80">
      <w:pPr>
        <w:jc w:val="both"/>
      </w:pPr>
    </w:p>
    <w:p w14:paraId="73EF61A7" w14:textId="77777777" w:rsidR="00737C80" w:rsidRPr="00EA2174" w:rsidRDefault="002E7DEE" w:rsidP="001555DF">
      <w:pPr>
        <w:pStyle w:val="Titolo1"/>
        <w:numPr>
          <w:ilvl w:val="0"/>
          <w:numId w:val="1"/>
        </w:numPr>
        <w:pBdr>
          <w:bottom w:val="single" w:sz="4" w:space="1" w:color="auto"/>
        </w:pBdr>
        <w:spacing w:after="240"/>
        <w:ind w:left="431" w:hanging="431"/>
      </w:pPr>
      <w:bookmarkStart w:id="6" w:name="_Toc200114665"/>
      <w:r w:rsidRPr="00EA2174">
        <w:t>Objectifs</w:t>
      </w:r>
      <w:bookmarkEnd w:id="6"/>
    </w:p>
    <w:p w14:paraId="4182308A" w14:textId="77777777" w:rsidR="00737C80" w:rsidRPr="00EA2174" w:rsidRDefault="002E7DEE">
      <w:pPr>
        <w:pStyle w:val="Titolo2"/>
        <w:numPr>
          <w:ilvl w:val="1"/>
          <w:numId w:val="1"/>
        </w:numPr>
      </w:pPr>
      <w:bookmarkStart w:id="7" w:name="_Toc200114666"/>
      <w:r w:rsidRPr="00EA2174">
        <w:t xml:space="preserve">Objectif </w:t>
      </w:r>
      <w:r w:rsidR="007B2EB0" w:rsidRPr="00EA2174">
        <w:t>général</w:t>
      </w:r>
      <w:bookmarkEnd w:id="7"/>
    </w:p>
    <w:p w14:paraId="3A8CF520" w14:textId="77777777" w:rsidR="00480DDB" w:rsidRPr="00EA2174" w:rsidRDefault="00480DDB" w:rsidP="00E930C3">
      <w:pPr>
        <w:jc w:val="both"/>
      </w:pPr>
      <w:r w:rsidRPr="00FD2C38">
        <w:t>Renforcer l'accès à la justice,</w:t>
      </w:r>
      <w:r w:rsidR="00FD2C38">
        <w:t xml:space="preserve"> la bonne gouvernance de l’administration,</w:t>
      </w:r>
      <w:r w:rsidRPr="00FD2C38">
        <w:t xml:space="preserve"> la protection des droits fondamentaux et de la confiance des citoyens dans l’État de droit.</w:t>
      </w:r>
    </w:p>
    <w:p w14:paraId="4CA4A20B" w14:textId="77777777" w:rsidR="00737C80" w:rsidRPr="00EA2174" w:rsidRDefault="002E7DEE" w:rsidP="001555DF">
      <w:pPr>
        <w:pStyle w:val="Titolo2"/>
        <w:numPr>
          <w:ilvl w:val="1"/>
          <w:numId w:val="1"/>
        </w:numPr>
        <w:spacing w:before="240"/>
        <w:ind w:left="578" w:hanging="578"/>
      </w:pPr>
      <w:bookmarkStart w:id="8" w:name="_Toc200114667"/>
      <w:r w:rsidRPr="00EA2174">
        <w:t>Objectifs spécifiques</w:t>
      </w:r>
      <w:bookmarkEnd w:id="8"/>
    </w:p>
    <w:p w14:paraId="62E95C88" w14:textId="77777777" w:rsidR="002346B2" w:rsidRDefault="005F7CBD" w:rsidP="00875CB6">
      <w:pPr>
        <w:jc w:val="both"/>
      </w:pPr>
      <w:r w:rsidRPr="00875CB6">
        <w:t xml:space="preserve">Renforcer les dispositifs de gouvernance de l’AJR en matière juridique, stratégique et organisationnelle, notamment en ce qui concerne la gestion du contentieux de l’État, tout en plaçant les droits des citoyens au cœur de l’action publique. </w:t>
      </w:r>
    </w:p>
    <w:p w14:paraId="2D8FB3C2" w14:textId="77777777" w:rsidR="002346B2" w:rsidRDefault="002346B2" w:rsidP="00875CB6">
      <w:pPr>
        <w:pStyle w:val="Titolo2"/>
        <w:numPr>
          <w:ilvl w:val="1"/>
          <w:numId w:val="1"/>
        </w:numPr>
        <w:spacing w:before="240"/>
        <w:ind w:left="578" w:hanging="578"/>
      </w:pPr>
      <w:bookmarkStart w:id="9" w:name="_Toc200114668"/>
      <w:r>
        <w:t>Cadre d’alignement et coopèration</w:t>
      </w:r>
      <w:bookmarkEnd w:id="9"/>
    </w:p>
    <w:p w14:paraId="7CEFF7F5" w14:textId="77777777" w:rsidR="00737C80" w:rsidRPr="00EA2174" w:rsidRDefault="002E7DEE" w:rsidP="00875CB6">
      <w:pPr>
        <w:pStyle w:val="Titolo3"/>
        <w:rPr>
          <w:b w:val="0"/>
          <w:u w:val="single"/>
        </w:rPr>
      </w:pPr>
      <w:bookmarkStart w:id="10" w:name="_Toc106025883"/>
      <w:bookmarkStart w:id="11" w:name="_Toc200114669"/>
      <w:r w:rsidRPr="00EA2174">
        <w:rPr>
          <w:b w:val="0"/>
          <w:u w:val="single"/>
        </w:rPr>
        <w:t>Contribution au plan national de développement</w:t>
      </w:r>
      <w:r w:rsidR="001555DF" w:rsidRPr="00EA2174">
        <w:rPr>
          <w:b w:val="0"/>
          <w:u w:val="single"/>
        </w:rPr>
        <w:t>.</w:t>
      </w:r>
      <w:bookmarkEnd w:id="10"/>
      <w:bookmarkEnd w:id="11"/>
    </w:p>
    <w:p w14:paraId="1D087415" w14:textId="77777777" w:rsidR="00737C80" w:rsidRPr="00EA2174" w:rsidRDefault="00737C80" w:rsidP="001555DF">
      <w:pPr>
        <w:rPr>
          <w:sz w:val="16"/>
        </w:rPr>
      </w:pPr>
    </w:p>
    <w:p w14:paraId="685A09B1" w14:textId="77777777" w:rsidR="00F20ED9" w:rsidRPr="00995240" w:rsidRDefault="00F20ED9" w:rsidP="00F20ED9">
      <w:r w:rsidRPr="00995240">
        <w:t>Le Nouveau Modèle de Développement du Maroc repose sur plusieurs piliers, dont :</w:t>
      </w:r>
    </w:p>
    <w:p w14:paraId="6132B0C1" w14:textId="77777777" w:rsidR="00F20ED9" w:rsidRPr="00995240" w:rsidRDefault="00F20ED9" w:rsidP="00F20ED9"/>
    <w:p w14:paraId="70B3B3B4" w14:textId="77777777" w:rsidR="00F20ED9" w:rsidRPr="00995240" w:rsidRDefault="00F20ED9" w:rsidP="00F20ED9">
      <w:pPr>
        <w:pStyle w:val="Paragrafoelenco"/>
        <w:numPr>
          <w:ilvl w:val="0"/>
          <w:numId w:val="28"/>
        </w:numPr>
      </w:pPr>
      <w:r w:rsidRPr="00995240">
        <w:t>L’État de droit et la justice efficace</w:t>
      </w:r>
    </w:p>
    <w:p w14:paraId="3901E731" w14:textId="77777777" w:rsidR="00F20ED9" w:rsidRPr="00995240" w:rsidRDefault="00F20ED9" w:rsidP="00F20ED9">
      <w:pPr>
        <w:pStyle w:val="Paragrafoelenco"/>
        <w:numPr>
          <w:ilvl w:val="0"/>
          <w:numId w:val="28"/>
        </w:numPr>
      </w:pPr>
      <w:r w:rsidRPr="00995240">
        <w:t>La bonne gouvernance et l’administration performante</w:t>
      </w:r>
    </w:p>
    <w:p w14:paraId="190F24BC" w14:textId="77777777" w:rsidR="00F20ED9" w:rsidRPr="00995240" w:rsidRDefault="00F20ED9" w:rsidP="00F20ED9">
      <w:pPr>
        <w:pStyle w:val="Paragrafoelenco"/>
        <w:numPr>
          <w:ilvl w:val="0"/>
          <w:numId w:val="28"/>
        </w:numPr>
      </w:pPr>
      <w:r w:rsidRPr="00995240">
        <w:t>La confiance citoyenne</w:t>
      </w:r>
    </w:p>
    <w:p w14:paraId="75010348" w14:textId="77777777" w:rsidR="00F20ED9" w:rsidRPr="00995240" w:rsidRDefault="00F20ED9" w:rsidP="00F20ED9">
      <w:pPr>
        <w:pStyle w:val="Paragrafoelenco"/>
        <w:numPr>
          <w:ilvl w:val="0"/>
          <w:numId w:val="28"/>
        </w:numPr>
      </w:pPr>
      <w:r w:rsidRPr="00995240">
        <w:t>L’attractivité économique et l’investissement</w:t>
      </w:r>
    </w:p>
    <w:p w14:paraId="42E7C9D5" w14:textId="77777777" w:rsidR="00F20ED9" w:rsidRPr="00995240" w:rsidRDefault="00F20ED9" w:rsidP="00F20ED9">
      <w:pPr>
        <w:pStyle w:val="Paragrafoelenco"/>
        <w:numPr>
          <w:ilvl w:val="0"/>
          <w:numId w:val="28"/>
        </w:numPr>
      </w:pPr>
      <w:r w:rsidRPr="00995240">
        <w:t>L'efficience de l’action publique</w:t>
      </w:r>
    </w:p>
    <w:p w14:paraId="5136C0C7" w14:textId="77777777" w:rsidR="00F20ED9" w:rsidRPr="00995240" w:rsidRDefault="00F20ED9" w:rsidP="00F20ED9"/>
    <w:p w14:paraId="3C8E6850" w14:textId="77777777" w:rsidR="00737C80" w:rsidRPr="00FD2C38" w:rsidRDefault="00F20ED9" w:rsidP="00F20ED9">
      <w:pPr>
        <w:jc w:val="both"/>
      </w:pPr>
      <w:r w:rsidRPr="00995240">
        <w:t>Le renforcement des capacités de l’AJR — au niveau institutionnel, organisationnel, technique et humain — contribue de manière transversale à ces objectifs.</w:t>
      </w:r>
    </w:p>
    <w:p w14:paraId="3E448C9F" w14:textId="77777777" w:rsidR="00FD2C38" w:rsidRPr="00FD2C38" w:rsidRDefault="00FD2C38" w:rsidP="00995240"/>
    <w:p w14:paraId="66D37525" w14:textId="77777777" w:rsidR="00755166" w:rsidRDefault="00755166" w:rsidP="00755166">
      <w:pPr>
        <w:jc w:val="both"/>
      </w:pPr>
      <w:r w:rsidRPr="00755166">
        <w:t>Les relations de coopération sur les plans politique, économique et social entre l'Union Européenne et le Maroc sont régies par l'Accord d'Association signé en février 1996, qui a pris effet le 3 mars 2000. Elles se fondent également sur la politique de voisinage mise en œuvre depuis 2003 et sur le Partenariat Renouvelé avec le Voisinage Sud adopté en février 2021. Ce dernier inclut le Nouvel Agenda pour la Méditerranée 2021-2027, qui souligne l'importance de l'État de droit, des droits humains, de la démocratie et d'une bonne gouvernance comme axes centraux de la coopération, mettant en avant l'indépendance et la redevabilité judiciaires.</w:t>
      </w:r>
    </w:p>
    <w:p w14:paraId="5941EDEC" w14:textId="77777777" w:rsidR="00755166" w:rsidRDefault="00755166" w:rsidP="00FD2C38">
      <w:pPr>
        <w:jc w:val="both"/>
      </w:pPr>
    </w:p>
    <w:p w14:paraId="51515CA3" w14:textId="77777777" w:rsidR="0059018A" w:rsidRPr="00995240" w:rsidRDefault="0059018A" w:rsidP="0059018A">
      <w:pPr>
        <w:jc w:val="both"/>
      </w:pPr>
      <w:r w:rsidRPr="00995240">
        <w:t>Contribution de l’AJR :</w:t>
      </w:r>
    </w:p>
    <w:p w14:paraId="395BB441" w14:textId="77777777" w:rsidR="00C127C6" w:rsidRPr="00995240" w:rsidRDefault="00C127C6" w:rsidP="0059018A">
      <w:pPr>
        <w:jc w:val="both"/>
      </w:pPr>
    </w:p>
    <w:p w14:paraId="0E1EEFB1" w14:textId="77777777" w:rsidR="0059018A" w:rsidRPr="00995240" w:rsidRDefault="0059018A" w:rsidP="0059018A">
      <w:pPr>
        <w:pStyle w:val="Paragrafoelenco"/>
        <w:numPr>
          <w:ilvl w:val="0"/>
          <w:numId w:val="25"/>
        </w:numPr>
        <w:jc w:val="both"/>
      </w:pPr>
      <w:r w:rsidRPr="00995240">
        <w:rPr>
          <w:b/>
        </w:rPr>
        <w:t>Renforcement de l’État de droit</w:t>
      </w:r>
      <w:r w:rsidRPr="00995240">
        <w:t xml:space="preserve"> : Une AJR performante garantit que l’État marocain respecte ses obligations légales dans les litiges nationaux et internationaux.</w:t>
      </w:r>
    </w:p>
    <w:p w14:paraId="53DE171E" w14:textId="77777777" w:rsidR="005F5AF5" w:rsidRPr="00995240" w:rsidRDefault="0059018A" w:rsidP="00995240">
      <w:pPr>
        <w:pStyle w:val="Paragrafoelenco"/>
        <w:numPr>
          <w:ilvl w:val="0"/>
          <w:numId w:val="25"/>
        </w:numPr>
        <w:jc w:val="both"/>
      </w:pPr>
      <w:r w:rsidRPr="00995240">
        <w:rPr>
          <w:b/>
        </w:rPr>
        <w:t>Confiance dans le système judiciaire marocain</w:t>
      </w:r>
      <w:r w:rsidRPr="00995240">
        <w:t xml:space="preserve"> : L'efficacité de l’AJR contribue à rassurer les investisseurs européens sur la capacité du Maroc à gérer les litiges en toute transparence et équité</w:t>
      </w:r>
      <w:r w:rsidR="005F5AF5" w:rsidRPr="00995240">
        <w:t xml:space="preserve"> </w:t>
      </w:r>
    </w:p>
    <w:p w14:paraId="0A29AE1F" w14:textId="77777777" w:rsidR="005F5AF5" w:rsidRPr="00995240" w:rsidRDefault="005F5AF5" w:rsidP="00995240">
      <w:pPr>
        <w:pStyle w:val="Paragrafoelenco"/>
        <w:numPr>
          <w:ilvl w:val="0"/>
          <w:numId w:val="25"/>
        </w:numPr>
        <w:jc w:val="both"/>
      </w:pPr>
      <w:r w:rsidRPr="00995240">
        <w:t>Le renforcement de la gouvernance publique et judiciaire</w:t>
      </w:r>
    </w:p>
    <w:p w14:paraId="7C099507" w14:textId="1AB6EBFF" w:rsidR="005F5AF5" w:rsidRPr="00995240" w:rsidRDefault="005F5AF5" w:rsidP="004561B3">
      <w:pPr>
        <w:pStyle w:val="Paragrafoelenco"/>
        <w:numPr>
          <w:ilvl w:val="0"/>
          <w:numId w:val="25"/>
        </w:numPr>
        <w:jc w:val="both"/>
      </w:pPr>
      <w:r w:rsidRPr="00875CB6">
        <w:rPr>
          <w:b/>
        </w:rPr>
        <w:t>Appui à la justice administrative</w:t>
      </w:r>
      <w:r w:rsidRPr="00995240">
        <w:t xml:space="preserve"> : En représentant efficacement l’État devant les juridictions </w:t>
      </w:r>
      <w:r w:rsidR="004561B3">
        <w:t>nationales</w:t>
      </w:r>
      <w:r w:rsidRPr="00995240">
        <w:t>, l’AJR participe à l’équilibre entre pouvoir public et droits des citoyens.</w:t>
      </w:r>
    </w:p>
    <w:p w14:paraId="16A72F79" w14:textId="77777777" w:rsidR="005F5AF5" w:rsidRPr="00995240" w:rsidRDefault="005F5AF5" w:rsidP="00995240">
      <w:pPr>
        <w:pStyle w:val="Paragrafoelenco"/>
        <w:numPr>
          <w:ilvl w:val="0"/>
          <w:numId w:val="25"/>
        </w:numPr>
        <w:jc w:val="both"/>
      </w:pPr>
      <w:r w:rsidRPr="00995240">
        <w:rPr>
          <w:b/>
        </w:rPr>
        <w:t>Mécanismes de reddition des comptes</w:t>
      </w:r>
      <w:r w:rsidRPr="00995240">
        <w:t xml:space="preserve"> : L’AJR contribue à l’établissement d’une culture de responsabilité de l’administration publique.</w:t>
      </w:r>
    </w:p>
    <w:p w14:paraId="26D4E73C" w14:textId="77777777" w:rsidR="0059018A" w:rsidRPr="00875CB6" w:rsidRDefault="005F5AF5" w:rsidP="00591E8B">
      <w:pPr>
        <w:pStyle w:val="Paragrafoelenco"/>
        <w:numPr>
          <w:ilvl w:val="0"/>
          <w:numId w:val="25"/>
        </w:numPr>
        <w:jc w:val="both"/>
      </w:pPr>
      <w:r w:rsidRPr="00995240">
        <w:rPr>
          <w:b/>
        </w:rPr>
        <w:t>Protection des droits des citoyens</w:t>
      </w:r>
      <w:r w:rsidRPr="00995240">
        <w:t xml:space="preserve"> : Une AJR compétente et éthique peut limiter les abus de l’administration et renforcer la protection juridique des citoyens face à l’État</w:t>
      </w:r>
      <w:r w:rsidR="0059018A" w:rsidRPr="00995240">
        <w:t>.</w:t>
      </w:r>
    </w:p>
    <w:p w14:paraId="50B7BE11" w14:textId="77777777" w:rsidR="00C127C6" w:rsidRPr="00995240" w:rsidRDefault="00C127C6" w:rsidP="00C127C6">
      <w:pPr>
        <w:pStyle w:val="Paragrafoelenco"/>
        <w:numPr>
          <w:ilvl w:val="0"/>
          <w:numId w:val="25"/>
        </w:numPr>
        <w:jc w:val="both"/>
      </w:pPr>
      <w:r w:rsidRPr="00995240">
        <w:rPr>
          <w:b/>
        </w:rPr>
        <w:t xml:space="preserve">Sécurisation des relations juridiques </w:t>
      </w:r>
      <w:r w:rsidRPr="00995240">
        <w:t xml:space="preserve">avec les entreprises </w:t>
      </w:r>
      <w:r w:rsidR="00116656" w:rsidRPr="00995240">
        <w:t>européennes :</w:t>
      </w:r>
      <w:r w:rsidRPr="00995240">
        <w:t xml:space="preserve"> L’AJR joue un rôle dans la défense des intérêts de l’État, y compris dans les différends commerciaux ou d’investissement où l’UE ou des entreprises européennes sont parties.</w:t>
      </w:r>
    </w:p>
    <w:p w14:paraId="340360C7" w14:textId="77777777" w:rsidR="00737C80" w:rsidRPr="00EA2174" w:rsidRDefault="002E7DEE" w:rsidP="001555DF">
      <w:pPr>
        <w:pStyle w:val="Titolo1"/>
        <w:numPr>
          <w:ilvl w:val="0"/>
          <w:numId w:val="1"/>
        </w:numPr>
        <w:pBdr>
          <w:bottom w:val="single" w:sz="4" w:space="1" w:color="auto"/>
        </w:pBdr>
        <w:spacing w:before="360" w:after="240"/>
        <w:ind w:left="431" w:hanging="431"/>
      </w:pPr>
      <w:bookmarkStart w:id="12" w:name="_Toc200114670"/>
      <w:r w:rsidRPr="00EA2174">
        <w:t>Description</w:t>
      </w:r>
      <w:bookmarkEnd w:id="12"/>
    </w:p>
    <w:p w14:paraId="00A47A87" w14:textId="77777777" w:rsidR="00737C80" w:rsidRPr="00EA2174" w:rsidRDefault="002E7DEE" w:rsidP="006840A7">
      <w:pPr>
        <w:pStyle w:val="Titolo2"/>
        <w:numPr>
          <w:ilvl w:val="1"/>
          <w:numId w:val="1"/>
        </w:numPr>
        <w:spacing w:before="0" w:after="0"/>
      </w:pPr>
      <w:bookmarkStart w:id="13" w:name="_Toc200114671"/>
      <w:r w:rsidRPr="00EA2174">
        <w:t>Contexte et justification</w:t>
      </w:r>
      <w:bookmarkEnd w:id="13"/>
    </w:p>
    <w:p w14:paraId="40FD446A" w14:textId="77777777" w:rsidR="00737C80" w:rsidRPr="00EA2174" w:rsidRDefault="00737C80" w:rsidP="006840A7">
      <w:pPr>
        <w:jc w:val="both"/>
        <w:rPr>
          <w:sz w:val="16"/>
        </w:rPr>
      </w:pPr>
    </w:p>
    <w:p w14:paraId="4F367944" w14:textId="77777777" w:rsidR="004B2DEF" w:rsidRPr="00FB00C7" w:rsidRDefault="00371BCF" w:rsidP="00875CB6">
      <w:pPr>
        <w:pStyle w:val="Paragrafoelenco"/>
        <w:numPr>
          <w:ilvl w:val="0"/>
          <w:numId w:val="33"/>
        </w:numPr>
        <w:jc w:val="both"/>
        <w:rPr>
          <w:b/>
          <w:bCs/>
        </w:rPr>
      </w:pPr>
      <w:r w:rsidRPr="00FB00C7">
        <w:rPr>
          <w:b/>
          <w:bCs/>
        </w:rPr>
        <w:t>S</w:t>
      </w:r>
      <w:r w:rsidR="004B2DEF" w:rsidRPr="00FB00C7">
        <w:rPr>
          <w:b/>
          <w:bCs/>
        </w:rPr>
        <w:t>ituation dans le secteur</w:t>
      </w:r>
      <w:r w:rsidR="008468C8" w:rsidRPr="00FB00C7">
        <w:rPr>
          <w:b/>
          <w:bCs/>
        </w:rPr>
        <w:t xml:space="preserve"> </w:t>
      </w:r>
      <w:r w:rsidR="004B2DEF" w:rsidRPr="00FB00C7">
        <w:rPr>
          <w:b/>
          <w:bCs/>
        </w:rPr>
        <w:t xml:space="preserve"> </w:t>
      </w:r>
    </w:p>
    <w:p w14:paraId="77D6F413" w14:textId="77777777" w:rsidR="00C64343" w:rsidRPr="00EA2174" w:rsidRDefault="00C64343" w:rsidP="00C64343"/>
    <w:p w14:paraId="0C5E7CF5" w14:textId="77777777" w:rsidR="00C64343" w:rsidRPr="00EA2174" w:rsidRDefault="006F74EA" w:rsidP="006F74EA">
      <w:pPr>
        <w:jc w:val="both"/>
      </w:pPr>
      <w:r w:rsidRPr="00EA2174">
        <w:t>La situation actuelle du secteur est caractérisée par la m</w:t>
      </w:r>
      <w:r w:rsidR="00C64343" w:rsidRPr="00EA2174">
        <w:t>ultiplication des litiges et l’augmentation d’affaires où l’administration (notamment ses organes) est défendeur ;</w:t>
      </w:r>
    </w:p>
    <w:p w14:paraId="1FEC86D1" w14:textId="64ED6CE7" w:rsidR="00FE4CF6" w:rsidRPr="00995240" w:rsidRDefault="006F74EA" w:rsidP="006F74EA">
      <w:pPr>
        <w:jc w:val="both"/>
      </w:pPr>
      <w:r w:rsidRPr="00EA2174">
        <w:t>De même, un c</w:t>
      </w:r>
      <w:r w:rsidR="00C64343" w:rsidRPr="00EA2174">
        <w:t xml:space="preserve">oût exorbitant du contentieux de l’état </w:t>
      </w:r>
      <w:r w:rsidR="0097382E" w:rsidRPr="00365144">
        <w:t>exerce u</w:t>
      </w:r>
      <w:r w:rsidR="00C64343" w:rsidRPr="00365144">
        <w:t xml:space="preserve">n </w:t>
      </w:r>
      <w:r w:rsidR="00C64343" w:rsidRPr="00EA2174">
        <w:t>impact significatif sur le budget général de l’Etat</w:t>
      </w:r>
      <w:r w:rsidRPr="00EA2174">
        <w:t>.</w:t>
      </w:r>
      <w:r w:rsidR="007F560D">
        <w:t xml:space="preserve"> </w:t>
      </w:r>
      <w:r w:rsidR="007F560D" w:rsidRPr="00995240">
        <w:t>Ainsi, l’AJR a mis en place ce qui suit :</w:t>
      </w:r>
    </w:p>
    <w:p w14:paraId="4FFCC229" w14:textId="77777777" w:rsidR="007F560D" w:rsidRPr="00995240" w:rsidRDefault="007F560D" w:rsidP="006F74EA">
      <w:pPr>
        <w:jc w:val="both"/>
      </w:pPr>
    </w:p>
    <w:p w14:paraId="2EB18E9D" w14:textId="77777777" w:rsidR="007F560D" w:rsidRPr="00995240" w:rsidRDefault="007F560D" w:rsidP="007F560D">
      <w:pPr>
        <w:pStyle w:val="Paragrafoelenco"/>
        <w:numPr>
          <w:ilvl w:val="1"/>
          <w:numId w:val="27"/>
        </w:numPr>
        <w:ind w:left="284" w:hanging="284"/>
        <w:jc w:val="both"/>
      </w:pPr>
      <w:r w:rsidRPr="00995240">
        <w:rPr>
          <w:b/>
          <w:bCs/>
        </w:rPr>
        <w:t xml:space="preserve">Lancement du plan stratégique 2024–2028, </w:t>
      </w:r>
      <w:r w:rsidRPr="00995240">
        <w:t xml:space="preserve">visant à : </w:t>
      </w:r>
    </w:p>
    <w:p w14:paraId="6CB8F034" w14:textId="77777777" w:rsidR="007F560D" w:rsidRPr="00995240" w:rsidRDefault="007F560D" w:rsidP="007F560D">
      <w:pPr>
        <w:numPr>
          <w:ilvl w:val="0"/>
          <w:numId w:val="29"/>
        </w:numPr>
        <w:jc w:val="both"/>
      </w:pPr>
      <w:r w:rsidRPr="00995240">
        <w:rPr>
          <w:b/>
          <w:bCs/>
        </w:rPr>
        <w:t>Prévenir le contentieux</w:t>
      </w:r>
      <w:r w:rsidRPr="00995240">
        <w:t xml:space="preserve"> en intervenant en amont des litiges</w:t>
      </w:r>
    </w:p>
    <w:p w14:paraId="0DE3EC8F" w14:textId="77777777" w:rsidR="007F560D" w:rsidRPr="00995240" w:rsidRDefault="007F560D" w:rsidP="007F560D">
      <w:pPr>
        <w:numPr>
          <w:ilvl w:val="0"/>
          <w:numId w:val="29"/>
        </w:numPr>
        <w:jc w:val="both"/>
      </w:pPr>
      <w:r w:rsidRPr="00995240">
        <w:rPr>
          <w:b/>
          <w:bCs/>
        </w:rPr>
        <w:t>Accompagner les administrations publiques</w:t>
      </w:r>
      <w:r w:rsidRPr="00995240">
        <w:t xml:space="preserve"> dans la gestion et la prévention des contentieux</w:t>
      </w:r>
    </w:p>
    <w:p w14:paraId="7BF6F28D" w14:textId="77777777" w:rsidR="007F560D" w:rsidRPr="00995240" w:rsidRDefault="007F560D" w:rsidP="007F560D">
      <w:pPr>
        <w:numPr>
          <w:ilvl w:val="0"/>
          <w:numId w:val="29"/>
        </w:numPr>
        <w:jc w:val="both"/>
      </w:pPr>
      <w:r w:rsidRPr="00995240">
        <w:rPr>
          <w:b/>
          <w:bCs/>
        </w:rPr>
        <w:t>Renforcer les capacités</w:t>
      </w:r>
      <w:r w:rsidRPr="00995240">
        <w:t xml:space="preserve"> et améliorer l’efficacité de la gestion du contentieux</w:t>
      </w:r>
    </w:p>
    <w:p w14:paraId="4BC40BCD" w14:textId="77777777" w:rsidR="007F560D" w:rsidRPr="00995240" w:rsidRDefault="007F560D" w:rsidP="007F560D">
      <w:pPr>
        <w:numPr>
          <w:ilvl w:val="0"/>
          <w:numId w:val="29"/>
        </w:numPr>
        <w:jc w:val="both"/>
      </w:pPr>
      <w:r w:rsidRPr="00995240">
        <w:rPr>
          <w:b/>
          <w:bCs/>
        </w:rPr>
        <w:t>Mettre en place un système de veille</w:t>
      </w:r>
      <w:r w:rsidRPr="00995240">
        <w:t xml:space="preserve"> pour suivre l’évolution de la législation et de la jurisprudence</w:t>
      </w:r>
    </w:p>
    <w:p w14:paraId="3B0585A0" w14:textId="77777777" w:rsidR="007F560D" w:rsidRPr="00995240" w:rsidRDefault="007F560D" w:rsidP="007F560D">
      <w:pPr>
        <w:numPr>
          <w:ilvl w:val="0"/>
          <w:numId w:val="29"/>
        </w:numPr>
        <w:jc w:val="both"/>
      </w:pPr>
      <w:r w:rsidRPr="00995240">
        <w:rPr>
          <w:b/>
          <w:bCs/>
        </w:rPr>
        <w:t>Améliorer la coordination et la communication</w:t>
      </w:r>
      <w:r w:rsidRPr="00995240">
        <w:t xml:space="preserve"> avec les partenaires</w:t>
      </w:r>
    </w:p>
    <w:p w14:paraId="5DE40FE8" w14:textId="77777777" w:rsidR="00C65788" w:rsidRDefault="007F560D" w:rsidP="007F560D">
      <w:pPr>
        <w:jc w:val="both"/>
      </w:pPr>
      <w:r w:rsidRPr="00995240">
        <w:t>Ce plan comprend 73 mesures exécutives, dont certaines ont déjà été mises en œuvre, telles que la création d’un comité de rationalisation des recours et la mise en place d’une commission chargée de préparer un projet de révision de la loi réglementant les attributions du Procureur général du Royaume.</w:t>
      </w:r>
    </w:p>
    <w:p w14:paraId="11432DBF" w14:textId="77777777" w:rsidR="007F560D" w:rsidRPr="00995240" w:rsidRDefault="007F560D" w:rsidP="007F560D">
      <w:pPr>
        <w:jc w:val="both"/>
      </w:pPr>
      <w:r w:rsidRPr="00995240">
        <w:t xml:space="preserve"> </w:t>
      </w:r>
    </w:p>
    <w:p w14:paraId="593EB288" w14:textId="77777777" w:rsidR="007F560D" w:rsidRPr="00995240" w:rsidRDefault="007F560D" w:rsidP="007F560D">
      <w:pPr>
        <w:pStyle w:val="Paragrafoelenco"/>
        <w:numPr>
          <w:ilvl w:val="1"/>
          <w:numId w:val="27"/>
        </w:numPr>
        <w:ind w:left="284" w:hanging="284"/>
        <w:jc w:val="both"/>
        <w:rPr>
          <w:b/>
          <w:bCs/>
        </w:rPr>
      </w:pPr>
      <w:r w:rsidRPr="00995240">
        <w:rPr>
          <w:b/>
          <w:bCs/>
        </w:rPr>
        <w:t>Lancement de la plateforme « Mouwakaba » :</w:t>
      </w:r>
    </w:p>
    <w:p w14:paraId="5553E372" w14:textId="77777777" w:rsidR="007F560D" w:rsidRDefault="007F560D" w:rsidP="007F560D">
      <w:pPr>
        <w:jc w:val="both"/>
      </w:pPr>
      <w:r w:rsidRPr="00995240">
        <w:t xml:space="preserve">En 2024, l’AJR a présenté la plateforme numérique « Mouwakaba », dédiée à la demande d’avis et de conseils des administrations publiques en matière de gestion et de prévention du contentieux. Cette plateforme vise à renforcer la coordination, la communication et le partage d’expérience avec les partenaires. </w:t>
      </w:r>
    </w:p>
    <w:p w14:paraId="0E4976AA" w14:textId="77777777" w:rsidR="00C65788" w:rsidRPr="00995240" w:rsidRDefault="00C65788" w:rsidP="007F560D">
      <w:pPr>
        <w:jc w:val="both"/>
      </w:pPr>
    </w:p>
    <w:p w14:paraId="335A20F7" w14:textId="77777777" w:rsidR="007F560D" w:rsidRPr="00995240" w:rsidRDefault="007F560D" w:rsidP="007F560D">
      <w:pPr>
        <w:pStyle w:val="Paragrafoelenco"/>
        <w:numPr>
          <w:ilvl w:val="1"/>
          <w:numId w:val="27"/>
        </w:numPr>
        <w:ind w:left="284" w:hanging="284"/>
        <w:jc w:val="both"/>
        <w:rPr>
          <w:b/>
          <w:bCs/>
        </w:rPr>
      </w:pPr>
      <w:r w:rsidRPr="00995240">
        <w:rPr>
          <w:b/>
          <w:bCs/>
        </w:rPr>
        <w:t>Renforcement de la collaboration avec la DGSN</w:t>
      </w:r>
    </w:p>
    <w:p w14:paraId="23AF68F7" w14:textId="77777777" w:rsidR="007F560D" w:rsidRDefault="007F560D" w:rsidP="007F560D">
      <w:pPr>
        <w:jc w:val="both"/>
      </w:pPr>
      <w:r w:rsidRPr="00995240">
        <w:t xml:space="preserve">En février 2025, l’AJR a signé une convention de partenariat avec la Direction générale de la sûreté nationale (DGSN) pour renforcer leur coopération et coordination dans les domaines de la défense des intérêts de l’État devant la justice et de gestion et prévention des contentieux. </w:t>
      </w:r>
    </w:p>
    <w:p w14:paraId="1B5A9F47" w14:textId="77777777" w:rsidR="00C65788" w:rsidRPr="00995240" w:rsidRDefault="00C65788" w:rsidP="007F560D">
      <w:pPr>
        <w:jc w:val="both"/>
      </w:pPr>
    </w:p>
    <w:p w14:paraId="7E9D2E92" w14:textId="77777777" w:rsidR="007F560D" w:rsidRPr="00995240" w:rsidRDefault="007F560D" w:rsidP="007F560D">
      <w:pPr>
        <w:pStyle w:val="Paragrafoelenco"/>
        <w:numPr>
          <w:ilvl w:val="1"/>
          <w:numId w:val="27"/>
        </w:numPr>
        <w:ind w:left="284" w:hanging="284"/>
        <w:jc w:val="both"/>
        <w:rPr>
          <w:b/>
          <w:bCs/>
        </w:rPr>
      </w:pPr>
      <w:r w:rsidRPr="00995240">
        <w:rPr>
          <w:b/>
          <w:bCs/>
        </w:rPr>
        <w:t>Recouvrement des fonds publics</w:t>
      </w:r>
    </w:p>
    <w:p w14:paraId="6F1097B0" w14:textId="77777777" w:rsidR="007F560D" w:rsidRPr="00995240" w:rsidRDefault="00A458C7" w:rsidP="00A458C7">
      <w:pPr>
        <w:jc w:val="both"/>
      </w:pPr>
      <w:r w:rsidRPr="002E284C">
        <w:t>En 2022</w:t>
      </w:r>
      <w:r w:rsidR="007F560D" w:rsidRPr="002E284C">
        <w:t>, l’AJR a récupéré près de 7</w:t>
      </w:r>
      <w:r w:rsidRPr="002E284C">
        <w:t>1,6</w:t>
      </w:r>
      <w:r w:rsidR="007F560D" w:rsidRPr="002E284C">
        <w:t xml:space="preserve"> millions de dirhams, provenant de fonds détournés, de dépenses avancées pour des fonctionnaires ou de montants indûment versés à des tiers. Cette action vise à renforcer la protection du Trésor public et à garantir que l’argent public retourne à sa destination légitime.</w:t>
      </w:r>
    </w:p>
    <w:p w14:paraId="6A98367E" w14:textId="77777777" w:rsidR="007F560D" w:rsidRPr="00995240" w:rsidRDefault="007F560D" w:rsidP="007F560D">
      <w:pPr>
        <w:jc w:val="both"/>
      </w:pPr>
      <w:r w:rsidRPr="00995240">
        <w:t xml:space="preserve"> </w:t>
      </w:r>
    </w:p>
    <w:p w14:paraId="6C6F6DD7" w14:textId="77777777" w:rsidR="007F560D" w:rsidRPr="00995240" w:rsidRDefault="007F560D" w:rsidP="007F560D">
      <w:pPr>
        <w:jc w:val="both"/>
        <w:rPr>
          <w:b/>
          <w:bCs/>
        </w:rPr>
      </w:pPr>
      <w:r w:rsidRPr="00995240">
        <w:rPr>
          <w:b/>
          <w:bCs/>
        </w:rPr>
        <w:t xml:space="preserve">De même le secteur fait face à des défis persistants, comme par exemple : </w:t>
      </w:r>
    </w:p>
    <w:p w14:paraId="09D5CACB" w14:textId="77777777" w:rsidR="007F560D" w:rsidRPr="00995240" w:rsidRDefault="007F560D" w:rsidP="007F560D">
      <w:pPr>
        <w:numPr>
          <w:ilvl w:val="0"/>
          <w:numId w:val="30"/>
        </w:numPr>
        <w:jc w:val="both"/>
      </w:pPr>
      <w:r w:rsidRPr="00995240">
        <w:rPr>
          <w:b/>
          <w:bCs/>
        </w:rPr>
        <w:t xml:space="preserve">Pénurie de </w:t>
      </w:r>
      <w:r w:rsidR="006C335F" w:rsidRPr="00995240">
        <w:rPr>
          <w:b/>
          <w:bCs/>
        </w:rPr>
        <w:t>magistrats</w:t>
      </w:r>
      <w:r w:rsidR="006C335F" w:rsidRPr="00995240">
        <w:t> :</w:t>
      </w:r>
      <w:r w:rsidRPr="00995240">
        <w:t xml:space="preserve"> qui impacte la capacité du système judiciaire à traiter efficacement les affaires.</w:t>
      </w:r>
    </w:p>
    <w:p w14:paraId="69D1809F" w14:textId="29ACDD92" w:rsidR="007F560D" w:rsidRDefault="007F560D" w:rsidP="00CD0BF6">
      <w:pPr>
        <w:numPr>
          <w:ilvl w:val="0"/>
          <w:numId w:val="30"/>
        </w:numPr>
        <w:jc w:val="both"/>
      </w:pPr>
      <w:r w:rsidRPr="00995240">
        <w:rPr>
          <w:b/>
          <w:bCs/>
        </w:rPr>
        <w:t>Engorgement des tribunaux</w:t>
      </w:r>
      <w:r w:rsidRPr="00995240">
        <w:t xml:space="preserve"> : </w:t>
      </w:r>
      <w:r w:rsidR="00CD0BF6" w:rsidRPr="00CD0BF6">
        <w:t xml:space="preserve">la surcharge de travail des juridictions due à un nombre de dossiers supérieur à leur capacité de traitement normale. Cela provoque </w:t>
      </w:r>
      <w:r w:rsidR="00CD0BF6">
        <w:t>une</w:t>
      </w:r>
      <w:r w:rsidRPr="00995240">
        <w:t xml:space="preserve"> pression sur le système judiciaire.</w:t>
      </w:r>
    </w:p>
    <w:p w14:paraId="779D9FEC" w14:textId="77777777" w:rsidR="00CD0BF6" w:rsidRDefault="00CD0BF6" w:rsidP="00CD0BF6">
      <w:pPr>
        <w:numPr>
          <w:ilvl w:val="0"/>
          <w:numId w:val="30"/>
        </w:numPr>
        <w:jc w:val="both"/>
      </w:pPr>
      <w:r w:rsidRPr="00BC5581">
        <w:rPr>
          <w:b/>
          <w:bCs/>
        </w:rPr>
        <w:t>Recours limité au règlement amiable des conflits</w:t>
      </w:r>
      <w:r>
        <w:t xml:space="preserve"> avant la saisine des tribunaux, malgré les dispositifs légaux existants pour la conciliation et la médiation,</w:t>
      </w:r>
    </w:p>
    <w:p w14:paraId="750D1E6C" w14:textId="4FA3F64F" w:rsidR="00CD0BF6" w:rsidRDefault="00CD0BF6" w:rsidP="00CD0BF6">
      <w:pPr>
        <w:numPr>
          <w:ilvl w:val="0"/>
          <w:numId w:val="30"/>
        </w:numPr>
        <w:jc w:val="both"/>
      </w:pPr>
      <w:r w:rsidRPr="00BC5581">
        <w:rPr>
          <w:b/>
          <w:bCs/>
        </w:rPr>
        <w:t>Non adoption généralisée de systèmes d’information informatisés</w:t>
      </w:r>
      <w:r>
        <w:t xml:space="preserve"> pour la gestion et le suivi des dossiers contentieux.</w:t>
      </w:r>
    </w:p>
    <w:p w14:paraId="367C01E7" w14:textId="434F2DFC" w:rsidR="00CD0BF6" w:rsidRDefault="00CD0BF6" w:rsidP="00CD0BF6">
      <w:pPr>
        <w:numPr>
          <w:ilvl w:val="0"/>
          <w:numId w:val="30"/>
        </w:numPr>
        <w:jc w:val="both"/>
      </w:pPr>
      <w:r w:rsidRPr="00BC5581">
        <w:rPr>
          <w:b/>
          <w:bCs/>
        </w:rPr>
        <w:t>Augmentation importante du nombre de litiges</w:t>
      </w:r>
      <w:r>
        <w:t xml:space="preserve"> impliquant l’État, sans mécanismes de prévention et de gestion adaptés.</w:t>
      </w:r>
    </w:p>
    <w:p w14:paraId="25403A6A" w14:textId="77777777" w:rsidR="007F560D" w:rsidRDefault="007F560D" w:rsidP="006F74EA">
      <w:pPr>
        <w:jc w:val="both"/>
      </w:pPr>
    </w:p>
    <w:p w14:paraId="2C0DC881" w14:textId="77777777" w:rsidR="00737C80" w:rsidRPr="00875CB6" w:rsidRDefault="002E7DEE" w:rsidP="00875CB6">
      <w:pPr>
        <w:pStyle w:val="Paragrafoelenco"/>
        <w:numPr>
          <w:ilvl w:val="0"/>
          <w:numId w:val="33"/>
        </w:numPr>
        <w:rPr>
          <w:b/>
        </w:rPr>
      </w:pPr>
      <w:bookmarkStart w:id="14" w:name="_Toc106025887"/>
      <w:r w:rsidRPr="00875CB6">
        <w:rPr>
          <w:b/>
          <w:bCs/>
        </w:rPr>
        <w:t>Cadre</w:t>
      </w:r>
      <w:r w:rsidRPr="00875CB6">
        <w:rPr>
          <w:b/>
        </w:rPr>
        <w:t xml:space="preserve"> institutionnel</w:t>
      </w:r>
      <w:bookmarkEnd w:id="14"/>
    </w:p>
    <w:p w14:paraId="27D1C818" w14:textId="77777777" w:rsidR="00C127C6" w:rsidRPr="00875CB6" w:rsidRDefault="00C127C6" w:rsidP="00995240">
      <w:pPr>
        <w:jc w:val="both"/>
        <w:rPr>
          <w:b/>
        </w:rPr>
      </w:pPr>
    </w:p>
    <w:p w14:paraId="35F60248" w14:textId="77777777" w:rsidR="00565867" w:rsidRDefault="00565867" w:rsidP="00565867">
      <w:pPr>
        <w:pBdr>
          <w:top w:val="nil"/>
          <w:left w:val="nil"/>
          <w:bottom w:val="nil"/>
          <w:right w:val="nil"/>
          <w:between w:val="nil"/>
        </w:pBdr>
        <w:jc w:val="both"/>
      </w:pPr>
      <w:r w:rsidRPr="00EA2174">
        <w:t xml:space="preserve">L'AJR est structuré en </w:t>
      </w:r>
      <w:r w:rsidR="00C67962" w:rsidRPr="00EA2174">
        <w:t xml:space="preserve">5 </w:t>
      </w:r>
      <w:r w:rsidRPr="00EA2174">
        <w:t>divisions :</w:t>
      </w:r>
    </w:p>
    <w:p w14:paraId="39C25B86" w14:textId="77777777" w:rsidR="00C127C6" w:rsidRPr="00EA2174" w:rsidRDefault="00C127C6" w:rsidP="00565867">
      <w:pPr>
        <w:pBdr>
          <w:top w:val="nil"/>
          <w:left w:val="nil"/>
          <w:bottom w:val="nil"/>
          <w:right w:val="nil"/>
          <w:between w:val="nil"/>
        </w:pBdr>
        <w:jc w:val="both"/>
      </w:pPr>
    </w:p>
    <w:p w14:paraId="703DF593" w14:textId="77777777" w:rsidR="00C67962" w:rsidRPr="00EA2174" w:rsidRDefault="00565867" w:rsidP="00565867">
      <w:pPr>
        <w:pBdr>
          <w:top w:val="nil"/>
          <w:left w:val="nil"/>
          <w:bottom w:val="nil"/>
          <w:right w:val="nil"/>
          <w:between w:val="nil"/>
        </w:pBdr>
        <w:tabs>
          <w:tab w:val="left" w:pos="284"/>
        </w:tabs>
        <w:jc w:val="both"/>
      </w:pPr>
      <w:r w:rsidRPr="00EA2174">
        <w:t>1.</w:t>
      </w:r>
      <w:r w:rsidR="00C67962" w:rsidRPr="00EA2174">
        <w:t xml:space="preserve"> Division des recours en annulation.</w:t>
      </w:r>
    </w:p>
    <w:p w14:paraId="1402F6B3" w14:textId="77777777" w:rsidR="00C67962" w:rsidRPr="00EA2174" w:rsidRDefault="00C67962" w:rsidP="00565867">
      <w:pPr>
        <w:pBdr>
          <w:top w:val="nil"/>
          <w:left w:val="nil"/>
          <w:bottom w:val="nil"/>
          <w:right w:val="nil"/>
          <w:between w:val="nil"/>
        </w:pBdr>
        <w:tabs>
          <w:tab w:val="left" w:pos="284"/>
        </w:tabs>
        <w:jc w:val="both"/>
      </w:pPr>
      <w:r w:rsidRPr="00EA2174">
        <w:t xml:space="preserve">2. </w:t>
      </w:r>
      <w:r w:rsidR="00565867" w:rsidRPr="00EA2174">
        <w:t xml:space="preserve">Division </w:t>
      </w:r>
      <w:r w:rsidRPr="00EA2174">
        <w:t>des recours de pleine juridiction.</w:t>
      </w:r>
    </w:p>
    <w:p w14:paraId="50BEF2E3" w14:textId="77777777" w:rsidR="00C67962" w:rsidRPr="00EA2174" w:rsidRDefault="00C67962" w:rsidP="00565867">
      <w:pPr>
        <w:pBdr>
          <w:top w:val="nil"/>
          <w:left w:val="nil"/>
          <w:bottom w:val="nil"/>
          <w:right w:val="nil"/>
          <w:between w:val="nil"/>
        </w:pBdr>
        <w:tabs>
          <w:tab w:val="left" w:pos="284"/>
        </w:tabs>
        <w:jc w:val="both"/>
      </w:pPr>
      <w:r w:rsidRPr="00EA2174">
        <w:t>3. Division du contentieux judiciaire.</w:t>
      </w:r>
    </w:p>
    <w:p w14:paraId="4878E1B4" w14:textId="77777777" w:rsidR="00C67962" w:rsidRPr="00EA2174" w:rsidRDefault="00C67962" w:rsidP="00565867">
      <w:pPr>
        <w:pBdr>
          <w:top w:val="nil"/>
          <w:left w:val="nil"/>
          <w:bottom w:val="nil"/>
          <w:right w:val="nil"/>
          <w:between w:val="nil"/>
        </w:pBdr>
        <w:tabs>
          <w:tab w:val="left" w:pos="284"/>
        </w:tabs>
        <w:jc w:val="both"/>
      </w:pPr>
      <w:r w:rsidRPr="00EA2174">
        <w:t xml:space="preserve">4. Division des affaires pénales. </w:t>
      </w:r>
    </w:p>
    <w:p w14:paraId="60779E2A" w14:textId="77777777" w:rsidR="00C67962" w:rsidRPr="00EA2174" w:rsidRDefault="00C67962" w:rsidP="00681616">
      <w:pPr>
        <w:pBdr>
          <w:top w:val="nil"/>
          <w:left w:val="nil"/>
          <w:bottom w:val="nil"/>
          <w:right w:val="nil"/>
          <w:between w:val="nil"/>
        </w:pBdr>
        <w:tabs>
          <w:tab w:val="left" w:pos="284"/>
        </w:tabs>
        <w:jc w:val="both"/>
      </w:pPr>
      <w:r w:rsidRPr="00EA2174">
        <w:t>5</w:t>
      </w:r>
      <w:r w:rsidR="00565867" w:rsidRPr="00EA2174">
        <w:t>.</w:t>
      </w:r>
      <w:r w:rsidRPr="00EA2174">
        <w:t xml:space="preserve"> Division des affaires commerciales et contentieux </w:t>
      </w:r>
      <w:r w:rsidR="00681616" w:rsidRPr="00EA2174">
        <w:t xml:space="preserve">arbitrales. </w:t>
      </w:r>
    </w:p>
    <w:p w14:paraId="67FBA10C" w14:textId="77777777" w:rsidR="00565867" w:rsidRDefault="00C67962" w:rsidP="00565867">
      <w:pPr>
        <w:pBdr>
          <w:top w:val="nil"/>
          <w:left w:val="nil"/>
          <w:bottom w:val="nil"/>
          <w:right w:val="nil"/>
          <w:between w:val="nil"/>
        </w:pBdr>
        <w:tabs>
          <w:tab w:val="left" w:pos="284"/>
        </w:tabs>
        <w:jc w:val="both"/>
      </w:pPr>
      <w:r w:rsidRPr="00EA2174">
        <w:t xml:space="preserve">6. </w:t>
      </w:r>
      <w:r w:rsidR="00565867" w:rsidRPr="00EA2174">
        <w:t>Division des études et procédures amiables.</w:t>
      </w:r>
    </w:p>
    <w:p w14:paraId="3B5E49DD" w14:textId="77777777" w:rsidR="00C127C6" w:rsidRDefault="00C127C6" w:rsidP="00565867">
      <w:pPr>
        <w:pBdr>
          <w:top w:val="nil"/>
          <w:left w:val="nil"/>
          <w:bottom w:val="nil"/>
          <w:right w:val="nil"/>
          <w:between w:val="nil"/>
        </w:pBdr>
        <w:tabs>
          <w:tab w:val="left" w:pos="284"/>
        </w:tabs>
        <w:jc w:val="both"/>
      </w:pPr>
    </w:p>
    <w:p w14:paraId="2B446A78" w14:textId="77777777" w:rsidR="00C127C6" w:rsidRPr="00EA2174" w:rsidRDefault="00C127C6" w:rsidP="00565867">
      <w:pPr>
        <w:pBdr>
          <w:top w:val="nil"/>
          <w:left w:val="nil"/>
          <w:bottom w:val="nil"/>
          <w:right w:val="nil"/>
          <w:between w:val="nil"/>
        </w:pBdr>
        <w:tabs>
          <w:tab w:val="left" w:pos="284"/>
        </w:tabs>
        <w:jc w:val="both"/>
      </w:pPr>
    </w:p>
    <w:p w14:paraId="7AB5467F" w14:textId="77777777" w:rsidR="00C67962" w:rsidRPr="00EA2174" w:rsidRDefault="00C67962" w:rsidP="00565867">
      <w:pPr>
        <w:pBdr>
          <w:top w:val="nil"/>
          <w:left w:val="nil"/>
          <w:bottom w:val="nil"/>
          <w:right w:val="nil"/>
          <w:between w:val="nil"/>
        </w:pBdr>
        <w:tabs>
          <w:tab w:val="left" w:pos="284"/>
        </w:tabs>
        <w:jc w:val="both"/>
      </w:pPr>
    </w:p>
    <w:p w14:paraId="175E6C3A" w14:textId="77777777" w:rsidR="00C67962" w:rsidRPr="00EA2174" w:rsidRDefault="00C67962" w:rsidP="00280345">
      <w:pPr>
        <w:pStyle w:val="Paragrafoelenco"/>
        <w:numPr>
          <w:ilvl w:val="0"/>
          <w:numId w:val="11"/>
        </w:numPr>
        <w:pBdr>
          <w:top w:val="nil"/>
          <w:left w:val="nil"/>
          <w:bottom w:val="nil"/>
          <w:right w:val="nil"/>
          <w:between w:val="nil"/>
        </w:pBdr>
        <w:jc w:val="both"/>
        <w:rPr>
          <w:b/>
          <w:bCs/>
          <w:i/>
          <w:iCs/>
          <w:color w:val="0070C0"/>
          <w:u w:val="single"/>
        </w:rPr>
      </w:pPr>
      <w:r w:rsidRPr="00EA2174">
        <w:rPr>
          <w:b/>
          <w:bCs/>
          <w:i/>
          <w:iCs/>
          <w:color w:val="0070C0"/>
          <w:u w:val="single"/>
        </w:rPr>
        <w:t>Organigramme détaillé de l’Agence Judiciaire du Royaume (rapport de l’AJR pour l’année 2022</w:t>
      </w:r>
      <w:r w:rsidR="00CE2BC3" w:rsidRPr="00EA2174">
        <w:rPr>
          <w:b/>
          <w:bCs/>
          <w:i/>
          <w:iCs/>
          <w:color w:val="0070C0"/>
          <w:u w:val="single"/>
        </w:rPr>
        <w:t xml:space="preserve">) </w:t>
      </w:r>
    </w:p>
    <w:p w14:paraId="1C6AAABD" w14:textId="77777777" w:rsidR="00C67962" w:rsidRPr="00EA2174" w:rsidRDefault="00C67962" w:rsidP="00565867">
      <w:pPr>
        <w:pBdr>
          <w:top w:val="nil"/>
          <w:left w:val="nil"/>
          <w:bottom w:val="nil"/>
          <w:right w:val="nil"/>
          <w:between w:val="nil"/>
        </w:pBdr>
        <w:jc w:val="both"/>
      </w:pPr>
    </w:p>
    <w:p w14:paraId="4324DAF1" w14:textId="77777777" w:rsidR="00800338" w:rsidRPr="00EA2174" w:rsidRDefault="00C67962" w:rsidP="00460742">
      <w:pPr>
        <w:pBdr>
          <w:top w:val="nil"/>
          <w:left w:val="nil"/>
          <w:bottom w:val="nil"/>
          <w:right w:val="nil"/>
          <w:between w:val="nil"/>
        </w:pBdr>
        <w:jc w:val="center"/>
      </w:pPr>
      <w:r w:rsidRPr="00EA2174">
        <w:rPr>
          <w:noProof/>
          <w:lang w:val="en-GB" w:eastAsia="en-GB"/>
        </w:rPr>
        <w:drawing>
          <wp:inline distT="0" distB="0" distL="0" distR="0" wp14:anchorId="1C76486E" wp14:editId="00C5563E">
            <wp:extent cx="5038725" cy="3438525"/>
            <wp:effectExtent l="0" t="0" r="9525" b="9525"/>
            <wp:docPr id="15171065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06591" name="Image 1517106591"/>
                    <pic:cNvPicPr/>
                  </pic:nvPicPr>
                  <pic:blipFill rotWithShape="1">
                    <a:blip r:embed="rId10">
                      <a:extLst>
                        <a:ext uri="{28A0092B-C50C-407E-A947-70E740481C1C}">
                          <a14:useLocalDpi xmlns:a14="http://schemas.microsoft.com/office/drawing/2010/main" val="0"/>
                        </a:ext>
                      </a:extLst>
                    </a:blip>
                    <a:srcRect l="8806" r="9478" b="20086"/>
                    <a:stretch/>
                  </pic:blipFill>
                  <pic:spPr bwMode="auto">
                    <a:xfrm>
                      <a:off x="0" y="0"/>
                      <a:ext cx="5062572" cy="3454799"/>
                    </a:xfrm>
                    <a:prstGeom prst="rect">
                      <a:avLst/>
                    </a:prstGeom>
                    <a:ln>
                      <a:noFill/>
                    </a:ln>
                    <a:extLst>
                      <a:ext uri="{53640926-AAD7-44D8-BBD7-CCE9431645EC}">
                        <a14:shadowObscured xmlns:a14="http://schemas.microsoft.com/office/drawing/2010/main"/>
                      </a:ext>
                    </a:extLst>
                  </pic:spPr>
                </pic:pic>
              </a:graphicData>
            </a:graphic>
          </wp:inline>
        </w:drawing>
      </w:r>
    </w:p>
    <w:p w14:paraId="77F037EC" w14:textId="77777777" w:rsidR="00FC32FE" w:rsidRPr="00EA2174" w:rsidRDefault="00FC32FE" w:rsidP="00CE2BC3">
      <w:pPr>
        <w:pBdr>
          <w:top w:val="nil"/>
          <w:left w:val="nil"/>
          <w:bottom w:val="nil"/>
          <w:right w:val="nil"/>
          <w:between w:val="nil"/>
        </w:pBdr>
        <w:jc w:val="both"/>
      </w:pPr>
    </w:p>
    <w:p w14:paraId="559E59E9" w14:textId="77777777" w:rsidR="00460742" w:rsidRPr="00995240" w:rsidRDefault="00460742" w:rsidP="00460742">
      <w:pPr>
        <w:pBdr>
          <w:top w:val="nil"/>
          <w:left w:val="nil"/>
          <w:bottom w:val="nil"/>
          <w:right w:val="nil"/>
          <w:between w:val="nil"/>
        </w:pBdr>
        <w:jc w:val="both"/>
      </w:pPr>
      <w:r w:rsidRPr="00995240">
        <w:t xml:space="preserve">Evolution des ressources humaines de l’AJR durant la période 2018-2022 : </w:t>
      </w:r>
    </w:p>
    <w:p w14:paraId="36EC1F2E" w14:textId="77777777" w:rsidR="00FC32FE" w:rsidRPr="00995240" w:rsidRDefault="00FC32FE" w:rsidP="00460742">
      <w:pPr>
        <w:pBdr>
          <w:top w:val="nil"/>
          <w:left w:val="nil"/>
          <w:bottom w:val="nil"/>
          <w:right w:val="nil"/>
          <w:between w:val="nil"/>
        </w:pBdr>
        <w:jc w:val="both"/>
      </w:pPr>
    </w:p>
    <w:p w14:paraId="1B74F1E4" w14:textId="0A755257" w:rsidR="00FC32FE" w:rsidRPr="00995240" w:rsidRDefault="00FC32FE" w:rsidP="008365C6">
      <w:pPr>
        <w:jc w:val="both"/>
      </w:pPr>
      <w:r w:rsidRPr="00995240">
        <w:t>En 2022, l’A.J.R</w:t>
      </w:r>
      <w:r w:rsidR="00722379">
        <w:t>.</w:t>
      </w:r>
      <w:r w:rsidRPr="00995240">
        <w:t xml:space="preserve"> comptait un total de 168 fonctionnaires, dont la répartition s’organisait comme suit : 103 cadres chargés du contentieux, 42 fonctionnaires en charge des tâches d’appui et d’assistance, et 23 fonctionnaires responsables de la gestion de la connaissance. Six départs ont été compensés par l’arrivée de six nouvelles recrues afin d’assurer la continuité et l’adaptation aux défis nouveaux. Concernant la répartition des catégories professionnelles, on constate un taux élevé d'administrateurs, représentant 75% du personnel. La représentativité des femmes au sein de l’A.J.R</w:t>
      </w:r>
      <w:r w:rsidR="00722379">
        <w:t>.</w:t>
      </w:r>
      <w:r w:rsidRPr="00995240">
        <w:t xml:space="preserve"> atteint 52%, tandis que celle des hommes s’élève à 48%. Quant à la répartition catégorielle, 14% des fonctionnaires sont classés comme techniciens, et les autres appartenant à des fonctions de rédacteurs et assistants administratifs complètent l’effectif. </w:t>
      </w:r>
    </w:p>
    <w:p w14:paraId="70708AEC" w14:textId="7C038EA5" w:rsidR="00FC32FE" w:rsidRPr="00995240" w:rsidRDefault="00681616" w:rsidP="00681616">
      <w:pPr>
        <w:pStyle w:val="NormaleWeb"/>
        <w:jc w:val="both"/>
      </w:pPr>
      <w:r w:rsidRPr="00995240">
        <w:t>L’AJR</w:t>
      </w:r>
      <w:r w:rsidR="00FC32FE" w:rsidRPr="00995240">
        <w:t xml:space="preserve"> s’appuie sur des ressources humaines structurées et diversifiées pour mener à bien ses missions de défense judiciaire de l’État. En 2022, l’effectif total s’élevait à 168 fonctionnaires, avec une dynamique de renouvellement équilibrée (6 départs compensés par l’arrivée de 6 nouvelles recrues). Cet effectif se décline en 103 cadres chargés du contentieux, 42 fonctionnaires assurant des tâches d’appui et d’assistance, et 23 spécialistes en gestion de la connaissance. La structure de l’A.J.R</w:t>
      </w:r>
      <w:r w:rsidR="00722379">
        <w:t>.</w:t>
      </w:r>
      <w:r w:rsidR="002427BD">
        <w:t xml:space="preserve"> </w:t>
      </w:r>
      <w:r w:rsidR="00FC32FE" w:rsidRPr="00995240">
        <w:t>se caractérise par un taux d’administrateurs de 75 %, une représentativité féminine de 52 % et masculine de 48 %, ainsi qu’un taux de techniciens de 14 %. Par ailleurs, la catégorie des rédacteurs et assistants administratifs complète ce dispositif, renforçant ainsi la capacité de l’Agence à répondre efficacement aux enjeux contentieux et à préserver les intérêts de l’État.</w:t>
      </w:r>
    </w:p>
    <w:p w14:paraId="288E6A6F" w14:textId="77777777" w:rsidR="00FC32FE" w:rsidRPr="00EA2174" w:rsidRDefault="00FC32FE" w:rsidP="00460742">
      <w:pPr>
        <w:pBdr>
          <w:top w:val="nil"/>
          <w:left w:val="nil"/>
          <w:bottom w:val="nil"/>
          <w:right w:val="nil"/>
          <w:between w:val="nil"/>
        </w:pBdr>
        <w:jc w:val="both"/>
        <w:rPr>
          <w:b/>
          <w:bCs/>
          <w:i/>
          <w:iCs/>
          <w:color w:val="0070C0"/>
          <w:u w:val="single"/>
        </w:rPr>
      </w:pPr>
    </w:p>
    <w:p w14:paraId="7A95F0F9" w14:textId="77777777" w:rsidR="00460742" w:rsidRPr="00EA2174" w:rsidRDefault="00460742" w:rsidP="00CE2BC3">
      <w:pPr>
        <w:pBdr>
          <w:top w:val="nil"/>
          <w:left w:val="nil"/>
          <w:bottom w:val="nil"/>
          <w:right w:val="nil"/>
          <w:between w:val="nil"/>
        </w:pBdr>
        <w:jc w:val="both"/>
      </w:pPr>
    </w:p>
    <w:p w14:paraId="654A79B0" w14:textId="77777777" w:rsidR="00193615" w:rsidRPr="00EA2174" w:rsidRDefault="00193615" w:rsidP="00CE2BC3">
      <w:pPr>
        <w:pBdr>
          <w:top w:val="nil"/>
          <w:left w:val="nil"/>
          <w:bottom w:val="nil"/>
          <w:right w:val="nil"/>
          <w:between w:val="nil"/>
        </w:pBdr>
        <w:jc w:val="both"/>
      </w:pPr>
    </w:p>
    <w:p w14:paraId="752B513E" w14:textId="77777777" w:rsidR="00571810" w:rsidRPr="00EA2174" w:rsidRDefault="00571810" w:rsidP="00460742">
      <w:pPr>
        <w:pBdr>
          <w:top w:val="nil"/>
          <w:left w:val="nil"/>
          <w:bottom w:val="nil"/>
          <w:right w:val="nil"/>
          <w:between w:val="nil"/>
        </w:pBdr>
        <w:jc w:val="center"/>
      </w:pPr>
      <w:r w:rsidRPr="00EA2174">
        <w:rPr>
          <w:noProof/>
          <w:lang w:val="en-GB" w:eastAsia="en-GB"/>
        </w:rPr>
        <w:drawing>
          <wp:inline distT="0" distB="0" distL="0" distR="0" wp14:anchorId="2D8A376E" wp14:editId="2A7D4590">
            <wp:extent cx="1127620" cy="3991365"/>
            <wp:effectExtent l="0" t="3175" r="0" b="0"/>
            <wp:docPr id="204897276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2761" name="Image 2048972761"/>
                    <pic:cNvPicPr/>
                  </pic:nvPicPr>
                  <pic:blipFill rotWithShape="1">
                    <a:blip r:embed="rId11">
                      <a:extLst>
                        <a:ext uri="{28A0092B-C50C-407E-A947-70E740481C1C}">
                          <a14:useLocalDpi xmlns:a14="http://schemas.microsoft.com/office/drawing/2010/main" val="0"/>
                        </a:ext>
                      </a:extLst>
                    </a:blip>
                    <a:srcRect l="7511" t="23310" r="72898" b="12477"/>
                    <a:stretch/>
                  </pic:blipFill>
                  <pic:spPr bwMode="auto">
                    <a:xfrm rot="16200000">
                      <a:off x="0" y="0"/>
                      <a:ext cx="1132697" cy="4009335"/>
                    </a:xfrm>
                    <a:prstGeom prst="rect">
                      <a:avLst/>
                    </a:prstGeom>
                    <a:ln>
                      <a:noFill/>
                    </a:ln>
                    <a:extLst>
                      <a:ext uri="{53640926-AAD7-44D8-BBD7-CCE9431645EC}">
                        <a14:shadowObscured xmlns:a14="http://schemas.microsoft.com/office/drawing/2010/main"/>
                      </a:ext>
                    </a:extLst>
                  </pic:spPr>
                </pic:pic>
              </a:graphicData>
            </a:graphic>
          </wp:inline>
        </w:drawing>
      </w:r>
    </w:p>
    <w:p w14:paraId="19D89E7A" w14:textId="77777777" w:rsidR="00800338" w:rsidRPr="00EA2174" w:rsidRDefault="00800338" w:rsidP="00565867">
      <w:pPr>
        <w:pBdr>
          <w:top w:val="nil"/>
          <w:left w:val="nil"/>
          <w:bottom w:val="nil"/>
          <w:right w:val="nil"/>
          <w:between w:val="nil"/>
        </w:pBdr>
        <w:jc w:val="both"/>
      </w:pPr>
    </w:p>
    <w:p w14:paraId="264477FA" w14:textId="77777777" w:rsidR="00460742" w:rsidRPr="00EA2174" w:rsidRDefault="00460742" w:rsidP="00460742">
      <w:pPr>
        <w:pBdr>
          <w:top w:val="nil"/>
          <w:left w:val="nil"/>
          <w:bottom w:val="nil"/>
          <w:right w:val="nil"/>
          <w:between w:val="nil"/>
        </w:pBdr>
        <w:jc w:val="right"/>
        <w:rPr>
          <w:b/>
          <w:bCs/>
          <w:i/>
          <w:iCs/>
          <w:color w:val="000000" w:themeColor="text1"/>
        </w:rPr>
      </w:pPr>
      <w:r w:rsidRPr="00EA2174">
        <w:rPr>
          <w:b/>
          <w:bCs/>
          <w:i/>
          <w:iCs/>
          <w:color w:val="000000" w:themeColor="text1"/>
        </w:rPr>
        <w:t xml:space="preserve">Source : AJR en chiffres 2022 </w:t>
      </w:r>
    </w:p>
    <w:p w14:paraId="2BBB7A81" w14:textId="77777777" w:rsidR="00460742" w:rsidRPr="00EA2174" w:rsidRDefault="00460742" w:rsidP="00565867">
      <w:pPr>
        <w:pBdr>
          <w:top w:val="nil"/>
          <w:left w:val="nil"/>
          <w:bottom w:val="nil"/>
          <w:right w:val="nil"/>
          <w:between w:val="nil"/>
        </w:pBdr>
        <w:jc w:val="both"/>
      </w:pPr>
    </w:p>
    <w:p w14:paraId="525761AE" w14:textId="77777777" w:rsidR="00460742" w:rsidRPr="00EA2174" w:rsidRDefault="00460742" w:rsidP="00565867">
      <w:pPr>
        <w:pBdr>
          <w:top w:val="nil"/>
          <w:left w:val="nil"/>
          <w:bottom w:val="nil"/>
          <w:right w:val="nil"/>
          <w:between w:val="nil"/>
        </w:pBdr>
        <w:jc w:val="both"/>
      </w:pPr>
    </w:p>
    <w:p w14:paraId="7D4B409A" w14:textId="77777777" w:rsidR="00800338" w:rsidRPr="00EA2174" w:rsidRDefault="00460742" w:rsidP="00280345">
      <w:pPr>
        <w:pStyle w:val="Paragrafoelenco"/>
        <w:numPr>
          <w:ilvl w:val="0"/>
          <w:numId w:val="11"/>
        </w:numPr>
        <w:pBdr>
          <w:top w:val="nil"/>
          <w:left w:val="nil"/>
          <w:bottom w:val="nil"/>
          <w:right w:val="nil"/>
          <w:between w:val="nil"/>
        </w:pBdr>
        <w:jc w:val="both"/>
        <w:rPr>
          <w:b/>
          <w:bCs/>
          <w:i/>
          <w:iCs/>
          <w:color w:val="0070C0"/>
          <w:u w:val="single"/>
        </w:rPr>
      </w:pPr>
      <w:r w:rsidRPr="00EA2174">
        <w:rPr>
          <w:b/>
          <w:bCs/>
          <w:i/>
          <w:iCs/>
          <w:color w:val="0070C0"/>
          <w:u w:val="single"/>
        </w:rPr>
        <w:t xml:space="preserve">Evolution du volume des affaires enregistrées par l’AJR </w:t>
      </w:r>
    </w:p>
    <w:p w14:paraId="4AFA3F78" w14:textId="77777777" w:rsidR="00800338" w:rsidRPr="00EA2174" w:rsidRDefault="004A2220" w:rsidP="00460742">
      <w:pPr>
        <w:pBdr>
          <w:top w:val="nil"/>
          <w:left w:val="nil"/>
          <w:bottom w:val="nil"/>
          <w:right w:val="nil"/>
          <w:between w:val="nil"/>
        </w:pBdr>
        <w:jc w:val="center"/>
      </w:pPr>
      <w:r w:rsidRPr="00EA2174">
        <w:rPr>
          <w:noProof/>
          <w:lang w:val="en-GB" w:eastAsia="en-GB"/>
        </w:rPr>
        <w:drawing>
          <wp:inline distT="0" distB="0" distL="0" distR="0" wp14:anchorId="22E2790C" wp14:editId="654A8761">
            <wp:extent cx="4966970" cy="1868805"/>
            <wp:effectExtent l="0" t="0" r="5080" b="0"/>
            <wp:docPr id="65870337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03373" name="Image 658703373"/>
                    <pic:cNvPicPr/>
                  </pic:nvPicPr>
                  <pic:blipFill rotWithShape="1">
                    <a:blip r:embed="rId12">
                      <a:extLst>
                        <a:ext uri="{28A0092B-C50C-407E-A947-70E740481C1C}">
                          <a14:useLocalDpi xmlns:a14="http://schemas.microsoft.com/office/drawing/2010/main" val="0"/>
                        </a:ext>
                      </a:extLst>
                    </a:blip>
                    <a:srcRect l="12914" t="60057" r="2906"/>
                    <a:stretch/>
                  </pic:blipFill>
                  <pic:spPr bwMode="auto">
                    <a:xfrm>
                      <a:off x="0" y="0"/>
                      <a:ext cx="4966970" cy="1868805"/>
                    </a:xfrm>
                    <a:prstGeom prst="rect">
                      <a:avLst/>
                    </a:prstGeom>
                    <a:ln>
                      <a:noFill/>
                    </a:ln>
                    <a:extLst>
                      <a:ext uri="{53640926-AAD7-44D8-BBD7-CCE9431645EC}">
                        <a14:shadowObscured xmlns:a14="http://schemas.microsoft.com/office/drawing/2010/main"/>
                      </a:ext>
                    </a:extLst>
                  </pic:spPr>
                </pic:pic>
              </a:graphicData>
            </a:graphic>
          </wp:inline>
        </w:drawing>
      </w:r>
    </w:p>
    <w:p w14:paraId="7D61AB3E" w14:textId="77777777" w:rsidR="00800338" w:rsidRPr="00EA2174" w:rsidRDefault="00800338" w:rsidP="00565867">
      <w:pPr>
        <w:pBdr>
          <w:top w:val="nil"/>
          <w:left w:val="nil"/>
          <w:bottom w:val="nil"/>
          <w:right w:val="nil"/>
          <w:between w:val="nil"/>
        </w:pBdr>
        <w:jc w:val="both"/>
      </w:pPr>
    </w:p>
    <w:p w14:paraId="26F362C2" w14:textId="77777777" w:rsidR="00460742" w:rsidRDefault="00460742" w:rsidP="00460742">
      <w:pPr>
        <w:pBdr>
          <w:top w:val="nil"/>
          <w:left w:val="nil"/>
          <w:bottom w:val="nil"/>
          <w:right w:val="nil"/>
          <w:between w:val="nil"/>
        </w:pBdr>
        <w:jc w:val="right"/>
        <w:rPr>
          <w:b/>
          <w:bCs/>
          <w:i/>
          <w:iCs/>
          <w:color w:val="000000" w:themeColor="text1"/>
        </w:rPr>
      </w:pPr>
      <w:r w:rsidRPr="00EA2174">
        <w:rPr>
          <w:b/>
          <w:bCs/>
          <w:i/>
          <w:iCs/>
          <w:color w:val="000000" w:themeColor="text1"/>
        </w:rPr>
        <w:t xml:space="preserve">Source : AJR en chiffres 2022 </w:t>
      </w:r>
    </w:p>
    <w:p w14:paraId="6220826B" w14:textId="77777777" w:rsidR="008365C6" w:rsidRDefault="008365C6" w:rsidP="00460742">
      <w:pPr>
        <w:pBdr>
          <w:top w:val="nil"/>
          <w:left w:val="nil"/>
          <w:bottom w:val="nil"/>
          <w:right w:val="nil"/>
          <w:between w:val="nil"/>
        </w:pBdr>
        <w:jc w:val="right"/>
        <w:rPr>
          <w:b/>
          <w:bCs/>
          <w:i/>
          <w:iCs/>
          <w:color w:val="000000" w:themeColor="text1"/>
        </w:rPr>
      </w:pPr>
    </w:p>
    <w:p w14:paraId="143829D3" w14:textId="77777777" w:rsidR="008365C6" w:rsidRPr="00EA2174" w:rsidRDefault="008365C6" w:rsidP="00460742">
      <w:pPr>
        <w:pBdr>
          <w:top w:val="nil"/>
          <w:left w:val="nil"/>
          <w:bottom w:val="nil"/>
          <w:right w:val="nil"/>
          <w:between w:val="nil"/>
        </w:pBdr>
        <w:jc w:val="right"/>
        <w:rPr>
          <w:b/>
          <w:bCs/>
          <w:i/>
          <w:iCs/>
          <w:color w:val="000000" w:themeColor="text1"/>
        </w:rPr>
      </w:pPr>
    </w:p>
    <w:p w14:paraId="49A94D28" w14:textId="77777777" w:rsidR="004A2220" w:rsidRPr="008365C6" w:rsidRDefault="009B1728" w:rsidP="00995240">
      <w:pPr>
        <w:pStyle w:val="Paragrafoelenco"/>
        <w:numPr>
          <w:ilvl w:val="0"/>
          <w:numId w:val="33"/>
        </w:numPr>
        <w:rPr>
          <w:b/>
        </w:rPr>
      </w:pPr>
      <w:r w:rsidRPr="008365C6">
        <w:rPr>
          <w:b/>
        </w:rPr>
        <w:t xml:space="preserve">Répartition des affaires notifiées à l’AJR </w:t>
      </w:r>
    </w:p>
    <w:p w14:paraId="7F01D8A3" w14:textId="77777777" w:rsidR="004A2220" w:rsidRPr="00EA2174" w:rsidRDefault="004A2220" w:rsidP="00565867">
      <w:pPr>
        <w:pBdr>
          <w:top w:val="nil"/>
          <w:left w:val="nil"/>
          <w:bottom w:val="nil"/>
          <w:right w:val="nil"/>
          <w:between w:val="nil"/>
        </w:pBdr>
        <w:jc w:val="both"/>
      </w:pPr>
    </w:p>
    <w:p w14:paraId="04E0CEA5" w14:textId="77777777" w:rsidR="004A2220" w:rsidRPr="00EA2174" w:rsidRDefault="009B1728" w:rsidP="00565867">
      <w:pPr>
        <w:pBdr>
          <w:top w:val="nil"/>
          <w:left w:val="nil"/>
          <w:bottom w:val="nil"/>
          <w:right w:val="nil"/>
          <w:between w:val="nil"/>
        </w:pBdr>
        <w:jc w:val="both"/>
      </w:pPr>
      <w:r w:rsidRPr="00EA2174">
        <w:rPr>
          <w:noProof/>
          <w:lang w:val="en-GB" w:eastAsia="en-GB"/>
        </w:rPr>
        <w:drawing>
          <wp:inline distT="0" distB="0" distL="0" distR="0" wp14:anchorId="77387767" wp14:editId="4C49A6CC">
            <wp:extent cx="6181725" cy="2422525"/>
            <wp:effectExtent l="0" t="0" r="0" b="0"/>
            <wp:docPr id="11272908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90850" name="Image 1127290850"/>
                    <pic:cNvPicPr/>
                  </pic:nvPicPr>
                  <pic:blipFill rotWithShape="1">
                    <a:blip r:embed="rId13">
                      <a:extLst>
                        <a:ext uri="{28A0092B-C50C-407E-A947-70E740481C1C}">
                          <a14:useLocalDpi xmlns:a14="http://schemas.microsoft.com/office/drawing/2010/main" val="0"/>
                        </a:ext>
                      </a:extLst>
                    </a:blip>
                    <a:srcRect l="1" t="22064" r="-3896"/>
                    <a:stretch/>
                  </pic:blipFill>
                  <pic:spPr bwMode="auto">
                    <a:xfrm>
                      <a:off x="0" y="0"/>
                      <a:ext cx="6181725" cy="2422525"/>
                    </a:xfrm>
                    <a:prstGeom prst="rect">
                      <a:avLst/>
                    </a:prstGeom>
                    <a:ln>
                      <a:noFill/>
                    </a:ln>
                    <a:extLst>
                      <a:ext uri="{53640926-AAD7-44D8-BBD7-CCE9431645EC}">
                        <a14:shadowObscured xmlns:a14="http://schemas.microsoft.com/office/drawing/2010/main"/>
                      </a:ext>
                    </a:extLst>
                  </pic:spPr>
                </pic:pic>
              </a:graphicData>
            </a:graphic>
          </wp:inline>
        </w:drawing>
      </w:r>
    </w:p>
    <w:p w14:paraId="3F6432EF" w14:textId="77777777" w:rsidR="004A2220" w:rsidRPr="00EA2174" w:rsidRDefault="004A2220" w:rsidP="00565867">
      <w:pPr>
        <w:pBdr>
          <w:top w:val="nil"/>
          <w:left w:val="nil"/>
          <w:bottom w:val="nil"/>
          <w:right w:val="nil"/>
          <w:between w:val="nil"/>
        </w:pBdr>
        <w:jc w:val="both"/>
      </w:pPr>
    </w:p>
    <w:p w14:paraId="0202CE00" w14:textId="77777777" w:rsidR="00460742" w:rsidRPr="00EA2174" w:rsidRDefault="00460742" w:rsidP="00460742">
      <w:pPr>
        <w:pBdr>
          <w:top w:val="nil"/>
          <w:left w:val="nil"/>
          <w:bottom w:val="nil"/>
          <w:right w:val="nil"/>
          <w:between w:val="nil"/>
        </w:pBdr>
        <w:jc w:val="right"/>
        <w:rPr>
          <w:b/>
          <w:bCs/>
          <w:i/>
          <w:iCs/>
          <w:color w:val="000000" w:themeColor="text1"/>
        </w:rPr>
      </w:pPr>
      <w:r w:rsidRPr="00EA2174">
        <w:rPr>
          <w:b/>
          <w:bCs/>
          <w:i/>
          <w:iCs/>
          <w:color w:val="000000" w:themeColor="text1"/>
        </w:rPr>
        <w:t xml:space="preserve">Source : AJR en chiffres 2022 </w:t>
      </w:r>
    </w:p>
    <w:p w14:paraId="40A57AF1" w14:textId="77777777" w:rsidR="00800338" w:rsidRPr="00EA2174" w:rsidRDefault="00800338" w:rsidP="00565867">
      <w:pPr>
        <w:pBdr>
          <w:top w:val="nil"/>
          <w:left w:val="nil"/>
          <w:bottom w:val="nil"/>
          <w:right w:val="nil"/>
          <w:between w:val="nil"/>
        </w:pBdr>
        <w:jc w:val="both"/>
      </w:pPr>
    </w:p>
    <w:p w14:paraId="276A3816" w14:textId="77777777" w:rsidR="00737C80" w:rsidRPr="00EA2174" w:rsidRDefault="002E7DEE" w:rsidP="00565867">
      <w:pPr>
        <w:jc w:val="both"/>
      </w:pPr>
      <w:r w:rsidRPr="00EA2174">
        <w:t xml:space="preserve"> </w:t>
      </w:r>
    </w:p>
    <w:p w14:paraId="30F667E1" w14:textId="77777777" w:rsidR="00737C80" w:rsidRPr="00EA2174" w:rsidRDefault="002E7DEE" w:rsidP="00995240">
      <w:pPr>
        <w:pStyle w:val="Paragrafoelenco"/>
        <w:numPr>
          <w:ilvl w:val="0"/>
          <w:numId w:val="33"/>
        </w:numPr>
        <w:jc w:val="both"/>
        <w:rPr>
          <w:b/>
          <w:bCs/>
        </w:rPr>
      </w:pPr>
      <w:bookmarkStart w:id="15" w:name="_Toc106025888"/>
      <w:r w:rsidRPr="00EA2174">
        <w:rPr>
          <w:b/>
          <w:bCs/>
        </w:rPr>
        <w:t xml:space="preserve">Besoins et </w:t>
      </w:r>
      <w:r w:rsidR="006840A7" w:rsidRPr="00EA2174">
        <w:rPr>
          <w:b/>
          <w:bCs/>
        </w:rPr>
        <w:t xml:space="preserve">justification </w:t>
      </w:r>
      <w:bookmarkEnd w:id="15"/>
    </w:p>
    <w:p w14:paraId="77FBEBF1" w14:textId="77777777" w:rsidR="00737C80" w:rsidRPr="00EA2174" w:rsidRDefault="00737C80">
      <w:pPr>
        <w:jc w:val="both"/>
        <w:rPr>
          <w:sz w:val="16"/>
        </w:rPr>
      </w:pPr>
    </w:p>
    <w:p w14:paraId="16976827" w14:textId="77777777" w:rsidR="009B1728" w:rsidRPr="00EA2174" w:rsidRDefault="009B1728" w:rsidP="002E284C">
      <w:pPr>
        <w:jc w:val="both"/>
        <w:rPr>
          <w:color w:val="000000" w:themeColor="text1"/>
        </w:rPr>
      </w:pPr>
      <w:r w:rsidRPr="00EA2174">
        <w:rPr>
          <w:color w:val="000000" w:themeColor="text1"/>
        </w:rPr>
        <w:t xml:space="preserve">Dans le cadre de ses missions, </w:t>
      </w:r>
      <w:r w:rsidR="002E284C">
        <w:rPr>
          <w:color w:val="000000" w:themeColor="text1"/>
        </w:rPr>
        <w:t>l’AJR</w:t>
      </w:r>
      <w:r w:rsidRPr="00EA2174">
        <w:rPr>
          <w:color w:val="000000" w:themeColor="text1"/>
        </w:rPr>
        <w:t xml:space="preserve"> joue un rôle clé dans l’amélioration du climat des affaires au Maroc. Elle contribue activement à la mise en place d’un cadre juridique robuste, renforçant ainsi l’État de droit, la transparence et la visibilité pour les opérateurs économiques, tant publics que privés.</w:t>
      </w:r>
    </w:p>
    <w:p w14:paraId="49834D59" w14:textId="77777777" w:rsidR="0032384D" w:rsidRPr="00EA2174" w:rsidRDefault="0032384D" w:rsidP="00193615">
      <w:pPr>
        <w:jc w:val="both"/>
        <w:rPr>
          <w:color w:val="000000" w:themeColor="text1"/>
        </w:rPr>
      </w:pPr>
    </w:p>
    <w:p w14:paraId="4D3B3D7A" w14:textId="77777777" w:rsidR="00A56DD2" w:rsidRPr="00EA2174" w:rsidRDefault="0032384D" w:rsidP="00193615">
      <w:pPr>
        <w:jc w:val="both"/>
        <w:rPr>
          <w:color w:val="000000" w:themeColor="text1"/>
        </w:rPr>
      </w:pPr>
      <w:r w:rsidRPr="00EA2174">
        <w:rPr>
          <w:color w:val="000000" w:themeColor="text1"/>
        </w:rPr>
        <w:t xml:space="preserve">Pour améliorer les performances de l’AJR, plusieurs besoins peuvent être identifiés. </w:t>
      </w:r>
    </w:p>
    <w:p w14:paraId="74B24B9B" w14:textId="77777777" w:rsidR="0032384D" w:rsidRPr="00EA2174" w:rsidRDefault="0032384D" w:rsidP="00193615">
      <w:pPr>
        <w:jc w:val="both"/>
        <w:rPr>
          <w:color w:val="000000" w:themeColor="text1"/>
        </w:rPr>
      </w:pPr>
      <w:r w:rsidRPr="00EA2174">
        <w:rPr>
          <w:color w:val="000000" w:themeColor="text1"/>
        </w:rPr>
        <w:t xml:space="preserve">Les besoins exprimés </w:t>
      </w:r>
      <w:r w:rsidR="00A56DD2" w:rsidRPr="00EA2174">
        <w:rPr>
          <w:color w:val="000000" w:themeColor="text1"/>
        </w:rPr>
        <w:t xml:space="preserve">à ce stade de conception de la fiche du projet </w:t>
      </w:r>
      <w:r w:rsidRPr="00EA2174">
        <w:rPr>
          <w:color w:val="000000" w:themeColor="text1"/>
        </w:rPr>
        <w:t>visent à renforcer les capacités institutionnelles, opérationnelles et stratégiques de l’</w:t>
      </w:r>
      <w:r w:rsidR="00A56DD2" w:rsidRPr="00EA2174">
        <w:rPr>
          <w:color w:val="000000" w:themeColor="text1"/>
        </w:rPr>
        <w:t>AJR à travers</w:t>
      </w:r>
      <w:r w:rsidRPr="00EA2174">
        <w:rPr>
          <w:color w:val="000000" w:themeColor="text1"/>
        </w:rPr>
        <w:t xml:space="preserve"> notamment :  </w:t>
      </w:r>
    </w:p>
    <w:p w14:paraId="770B74CA" w14:textId="77777777" w:rsidR="0032384D" w:rsidRPr="00EA2174" w:rsidRDefault="0032384D" w:rsidP="00193615">
      <w:pPr>
        <w:jc w:val="both"/>
        <w:rPr>
          <w:color w:val="000000" w:themeColor="text1"/>
        </w:rPr>
      </w:pPr>
    </w:p>
    <w:p w14:paraId="0D8C506A" w14:textId="37000AA2" w:rsidR="009506DF" w:rsidRDefault="00945DE8" w:rsidP="00945DE8">
      <w:pPr>
        <w:pStyle w:val="Paragrafoelenco"/>
        <w:numPr>
          <w:ilvl w:val="0"/>
          <w:numId w:val="10"/>
        </w:numPr>
        <w:jc w:val="both"/>
        <w:rPr>
          <w:b/>
          <w:bCs/>
          <w:color w:val="000000" w:themeColor="text1"/>
        </w:rPr>
      </w:pPr>
      <w:r w:rsidRPr="00945DE8">
        <w:rPr>
          <w:b/>
          <w:bCs/>
          <w:color w:val="000000" w:themeColor="text1"/>
        </w:rPr>
        <w:t>la modernisation du cadre juridique fixant les attributions de l’AJR.</w:t>
      </w:r>
    </w:p>
    <w:p w14:paraId="5AF59CB1" w14:textId="77777777" w:rsidR="0032384D" w:rsidRPr="00EA2174" w:rsidRDefault="0032384D" w:rsidP="00280345">
      <w:pPr>
        <w:pStyle w:val="Paragrafoelenco"/>
        <w:numPr>
          <w:ilvl w:val="0"/>
          <w:numId w:val="10"/>
        </w:numPr>
        <w:jc w:val="both"/>
        <w:rPr>
          <w:b/>
          <w:bCs/>
          <w:color w:val="000000" w:themeColor="text1"/>
        </w:rPr>
      </w:pPr>
      <w:r w:rsidRPr="00EA2174">
        <w:rPr>
          <w:b/>
          <w:bCs/>
          <w:color w:val="000000" w:themeColor="text1"/>
        </w:rPr>
        <w:t>l’amélioration des processus de gestion du contentieux à travers</w:t>
      </w:r>
      <w:r w:rsidR="00714532" w:rsidRPr="00EA2174">
        <w:rPr>
          <w:b/>
          <w:bCs/>
          <w:color w:val="000000" w:themeColor="text1"/>
        </w:rPr>
        <w:t xml:space="preserve"> l</w:t>
      </w:r>
      <w:r w:rsidR="00A56DD2" w:rsidRPr="00EA2174">
        <w:rPr>
          <w:b/>
          <w:bCs/>
          <w:color w:val="000000" w:themeColor="text1"/>
        </w:rPr>
        <w:t xml:space="preserve">e </w:t>
      </w:r>
      <w:r w:rsidR="00714532" w:rsidRPr="00EA2174">
        <w:rPr>
          <w:b/>
          <w:bCs/>
          <w:color w:val="000000" w:themeColor="text1"/>
        </w:rPr>
        <w:t>r</w:t>
      </w:r>
      <w:r w:rsidRPr="00EA2174">
        <w:rPr>
          <w:b/>
          <w:bCs/>
          <w:color w:val="000000" w:themeColor="text1"/>
        </w:rPr>
        <w:t>enforcement des compétences techniques et juridiques</w:t>
      </w:r>
      <w:r w:rsidR="00A56DD2" w:rsidRPr="00EA2174">
        <w:rPr>
          <w:b/>
          <w:bCs/>
          <w:color w:val="000000" w:themeColor="text1"/>
        </w:rPr>
        <w:t>.</w:t>
      </w:r>
    </w:p>
    <w:p w14:paraId="1B891642" w14:textId="77777777" w:rsidR="0032384D" w:rsidRPr="00EA2174" w:rsidRDefault="002427BD" w:rsidP="00280345">
      <w:pPr>
        <w:pStyle w:val="Paragrafoelenco"/>
        <w:numPr>
          <w:ilvl w:val="0"/>
          <w:numId w:val="10"/>
        </w:numPr>
        <w:jc w:val="both"/>
        <w:rPr>
          <w:color w:val="000000" w:themeColor="text1"/>
        </w:rPr>
      </w:pPr>
      <w:r>
        <w:rPr>
          <w:b/>
          <w:bCs/>
          <w:color w:val="000000" w:themeColor="text1"/>
        </w:rPr>
        <w:t>p</w:t>
      </w:r>
      <w:r w:rsidR="0032384D" w:rsidRPr="00EA2174">
        <w:rPr>
          <w:b/>
          <w:bCs/>
          <w:color w:val="000000" w:themeColor="text1"/>
        </w:rPr>
        <w:t xml:space="preserve">romotion </w:t>
      </w:r>
      <w:r w:rsidR="001F1605" w:rsidRPr="00EA2174">
        <w:rPr>
          <w:b/>
          <w:bCs/>
          <w:color w:val="000000" w:themeColor="text1"/>
        </w:rPr>
        <w:t xml:space="preserve">des </w:t>
      </w:r>
      <w:r w:rsidR="0032384D" w:rsidRPr="00EA2174">
        <w:rPr>
          <w:b/>
          <w:bCs/>
          <w:color w:val="000000" w:themeColor="text1"/>
        </w:rPr>
        <w:t>modes alternatifs de résolution des litiges (MARD)</w:t>
      </w:r>
      <w:r w:rsidR="00A56DD2" w:rsidRPr="00EA2174">
        <w:rPr>
          <w:b/>
          <w:bCs/>
          <w:color w:val="000000" w:themeColor="text1"/>
        </w:rPr>
        <w:t>.</w:t>
      </w:r>
    </w:p>
    <w:p w14:paraId="7527A14A" w14:textId="77777777" w:rsidR="00A56DD2" w:rsidRPr="00EA2174" w:rsidRDefault="00A56DD2" w:rsidP="00280345">
      <w:pPr>
        <w:pStyle w:val="Paragrafoelenco"/>
        <w:numPr>
          <w:ilvl w:val="0"/>
          <w:numId w:val="10"/>
        </w:numPr>
        <w:jc w:val="both"/>
        <w:rPr>
          <w:color w:val="000000" w:themeColor="text1"/>
        </w:rPr>
      </w:pPr>
      <w:r w:rsidRPr="00EA2174">
        <w:rPr>
          <w:b/>
          <w:bCs/>
          <w:color w:val="000000" w:themeColor="text1"/>
        </w:rPr>
        <w:t>l’</w:t>
      </w:r>
      <w:r w:rsidR="002427BD">
        <w:rPr>
          <w:b/>
          <w:bCs/>
          <w:color w:val="000000" w:themeColor="text1"/>
        </w:rPr>
        <w:t>a</w:t>
      </w:r>
      <w:r w:rsidR="0032384D" w:rsidRPr="00EA2174">
        <w:rPr>
          <w:b/>
          <w:bCs/>
          <w:color w:val="000000" w:themeColor="text1"/>
        </w:rPr>
        <w:t>mélioration de la transparence et de la communication</w:t>
      </w:r>
      <w:r w:rsidRPr="00EA2174">
        <w:rPr>
          <w:b/>
          <w:bCs/>
          <w:color w:val="000000" w:themeColor="text1"/>
        </w:rPr>
        <w:t>.</w:t>
      </w:r>
    </w:p>
    <w:p w14:paraId="0C638062" w14:textId="77777777" w:rsidR="0032384D" w:rsidRPr="00EA2174" w:rsidRDefault="00A56DD2" w:rsidP="00280345">
      <w:pPr>
        <w:pStyle w:val="Paragrafoelenco"/>
        <w:numPr>
          <w:ilvl w:val="0"/>
          <w:numId w:val="10"/>
        </w:numPr>
        <w:jc w:val="both"/>
        <w:rPr>
          <w:b/>
          <w:bCs/>
          <w:color w:val="000000" w:themeColor="text1"/>
        </w:rPr>
      </w:pPr>
      <w:r w:rsidRPr="00EA2174">
        <w:rPr>
          <w:b/>
          <w:bCs/>
          <w:color w:val="000000" w:themeColor="text1"/>
        </w:rPr>
        <w:t>le s</w:t>
      </w:r>
      <w:r w:rsidR="0032384D" w:rsidRPr="00EA2174">
        <w:rPr>
          <w:b/>
          <w:bCs/>
          <w:color w:val="000000" w:themeColor="text1"/>
        </w:rPr>
        <w:t>outien à la réforme législative et réglementaire</w:t>
      </w:r>
      <w:r w:rsidRPr="00EA2174">
        <w:rPr>
          <w:b/>
          <w:bCs/>
          <w:color w:val="000000" w:themeColor="text1"/>
        </w:rPr>
        <w:t>.</w:t>
      </w:r>
    </w:p>
    <w:p w14:paraId="6040E3AD" w14:textId="77777777" w:rsidR="0032384D" w:rsidRPr="00EA2174" w:rsidRDefault="00A56DD2" w:rsidP="00280345">
      <w:pPr>
        <w:pStyle w:val="Paragrafoelenco"/>
        <w:numPr>
          <w:ilvl w:val="0"/>
          <w:numId w:val="10"/>
        </w:numPr>
        <w:jc w:val="both"/>
        <w:rPr>
          <w:b/>
          <w:bCs/>
          <w:color w:val="000000" w:themeColor="text1"/>
        </w:rPr>
      </w:pPr>
      <w:r w:rsidRPr="00EA2174">
        <w:rPr>
          <w:b/>
          <w:bCs/>
          <w:color w:val="000000" w:themeColor="text1"/>
        </w:rPr>
        <w:t>le r</w:t>
      </w:r>
      <w:r w:rsidR="0032384D" w:rsidRPr="00EA2174">
        <w:rPr>
          <w:b/>
          <w:bCs/>
          <w:color w:val="000000" w:themeColor="text1"/>
        </w:rPr>
        <w:t>enforcement des partenariats et de la coopération</w:t>
      </w:r>
      <w:r w:rsidRPr="00EA2174">
        <w:rPr>
          <w:b/>
          <w:bCs/>
          <w:color w:val="000000" w:themeColor="text1"/>
        </w:rPr>
        <w:t>.</w:t>
      </w:r>
    </w:p>
    <w:p w14:paraId="346B46E7" w14:textId="77777777" w:rsidR="0032384D" w:rsidRPr="00EA2174" w:rsidRDefault="00A56DD2" w:rsidP="00681616">
      <w:pPr>
        <w:pStyle w:val="Paragrafoelenco"/>
        <w:numPr>
          <w:ilvl w:val="0"/>
          <w:numId w:val="10"/>
        </w:numPr>
        <w:jc w:val="both"/>
        <w:rPr>
          <w:b/>
          <w:bCs/>
          <w:color w:val="000000" w:themeColor="text1"/>
        </w:rPr>
      </w:pPr>
      <w:r w:rsidRPr="00EA2174">
        <w:rPr>
          <w:b/>
          <w:bCs/>
          <w:color w:val="000000" w:themeColor="text1"/>
        </w:rPr>
        <w:t>le d</w:t>
      </w:r>
      <w:r w:rsidR="0032384D" w:rsidRPr="00EA2174">
        <w:rPr>
          <w:b/>
          <w:bCs/>
          <w:color w:val="000000" w:themeColor="text1"/>
        </w:rPr>
        <w:t>éveloppement de technologies innovantes</w:t>
      </w:r>
      <w:r w:rsidR="00681616" w:rsidRPr="00EA2174">
        <w:rPr>
          <w:b/>
          <w:bCs/>
          <w:color w:val="000000" w:themeColor="text1"/>
        </w:rPr>
        <w:t xml:space="preserve">. </w:t>
      </w:r>
    </w:p>
    <w:p w14:paraId="128BEAB5" w14:textId="77777777" w:rsidR="0032384D" w:rsidRPr="00EA2174" w:rsidRDefault="00A56DD2" w:rsidP="00280345">
      <w:pPr>
        <w:pStyle w:val="Paragrafoelenco"/>
        <w:numPr>
          <w:ilvl w:val="0"/>
          <w:numId w:val="10"/>
        </w:numPr>
        <w:jc w:val="both"/>
        <w:rPr>
          <w:b/>
          <w:bCs/>
          <w:color w:val="000000" w:themeColor="text1"/>
        </w:rPr>
      </w:pPr>
      <w:r w:rsidRPr="00EA2174">
        <w:rPr>
          <w:b/>
          <w:bCs/>
          <w:color w:val="000000" w:themeColor="text1"/>
        </w:rPr>
        <w:t>l’é</w:t>
      </w:r>
      <w:r w:rsidR="0032384D" w:rsidRPr="00EA2174">
        <w:rPr>
          <w:b/>
          <w:bCs/>
          <w:color w:val="000000" w:themeColor="text1"/>
        </w:rPr>
        <w:t>valuation et suivi des performances</w:t>
      </w:r>
      <w:r w:rsidRPr="00EA2174">
        <w:rPr>
          <w:b/>
          <w:bCs/>
          <w:color w:val="000000" w:themeColor="text1"/>
        </w:rPr>
        <w:t>.</w:t>
      </w:r>
    </w:p>
    <w:p w14:paraId="1CB7CC9E" w14:textId="77777777" w:rsidR="009B1728" w:rsidRPr="00EA2174" w:rsidRDefault="009B1728" w:rsidP="00193615">
      <w:pPr>
        <w:jc w:val="both"/>
      </w:pPr>
    </w:p>
    <w:p w14:paraId="523178FA" w14:textId="77777777" w:rsidR="00737C80" w:rsidRPr="00EA2174" w:rsidRDefault="002E7DEE" w:rsidP="00995240">
      <w:pPr>
        <w:pStyle w:val="Paragrafoelenco"/>
        <w:numPr>
          <w:ilvl w:val="0"/>
          <w:numId w:val="33"/>
        </w:numPr>
        <w:jc w:val="both"/>
        <w:rPr>
          <w:b/>
          <w:bCs/>
        </w:rPr>
      </w:pPr>
      <w:bookmarkStart w:id="16" w:name="_Toc106025889"/>
      <w:r w:rsidRPr="00EA2174">
        <w:rPr>
          <w:b/>
          <w:bCs/>
        </w:rPr>
        <w:t>Administrations bénéficiaires</w:t>
      </w:r>
      <w:bookmarkEnd w:id="16"/>
    </w:p>
    <w:p w14:paraId="4EFAF5C5" w14:textId="723084A1" w:rsidR="005B3AF6" w:rsidRPr="00EA2174" w:rsidRDefault="005B3AF6" w:rsidP="005B3AF6">
      <w:pPr>
        <w:pStyle w:val="NormaleWeb"/>
        <w:jc w:val="both"/>
        <w:rPr>
          <w:color w:val="000000" w:themeColor="text1"/>
        </w:rPr>
      </w:pPr>
      <w:r w:rsidRPr="00EA2174">
        <w:rPr>
          <w:color w:val="000000" w:themeColor="text1"/>
        </w:rPr>
        <w:t>L'Agence Judiciaire du Royaume (A.J.R), créée en 1928 et bénéficiaire direct du projet de jumelage, est l'administration dont les missions sont définies par le Dahir du 2 mars 1953 portant réorganisation de l’Agence Judiciaire de l’État. Elle a pour mission principale d’assurer la défense judiciaire de l’État et de ses démembrements, qu’ils soient demandeurs ou défendeurs, en intervenant obligatoirement dans toutes les affaires visant à déclarer l’État ou ses administrations, offices et établissements publics comme débiteurs – sous peine d’irrecevabilité de la requête – conformément aux dispositions de l’article 1er du Dahir, reprises à l’article 514 du Code de procédure civile. Par ailleurs, l’article 3 du Code de procédure pénale impose que les poursuites engagées contre les magistrats, fonctionnaires publics, agents ou préposés de l’autorité ou de la force publique soient portées à la connaissance de l’A.J.R</w:t>
      </w:r>
      <w:r w:rsidR="00722379">
        <w:rPr>
          <w:color w:val="000000" w:themeColor="text1"/>
        </w:rPr>
        <w:t>.</w:t>
      </w:r>
      <w:r w:rsidRPr="00EA2174">
        <w:rPr>
          <w:color w:val="000000" w:themeColor="text1"/>
        </w:rPr>
        <w:t>, garantissant ainsi la défense de ces personnes et permettant à la partie lésée de réclamer réparation en cas de condamnation. En outre, selon les lois régissant les régimes de pensions civiles et militaires, le tiers responsable d’une infirmité ou d’un décès causé à un fonctionnaire doit informer l’A.J.R</w:t>
      </w:r>
      <w:r w:rsidR="00722379">
        <w:rPr>
          <w:color w:val="000000" w:themeColor="text1"/>
        </w:rPr>
        <w:t>.</w:t>
      </w:r>
      <w:r w:rsidRPr="00EA2174">
        <w:rPr>
          <w:color w:val="000000" w:themeColor="text1"/>
        </w:rPr>
        <w:t xml:space="preserve"> de toute action intentée, l’État étant subrogé de plein droit à la victime ou à ses ayants droit pour présenter la réclamation de remboursement des prestations versées, comme le prévoient notamment les articles 28 et 32 des lois du 30 décembre 1971. Par conséquent, l’application de ces dispositions permet à l’A.J.R</w:t>
      </w:r>
      <w:r w:rsidR="00722379">
        <w:rPr>
          <w:color w:val="000000" w:themeColor="text1"/>
        </w:rPr>
        <w:t>.</w:t>
      </w:r>
      <w:r w:rsidRPr="00EA2174">
        <w:rPr>
          <w:color w:val="000000" w:themeColor="text1"/>
        </w:rPr>
        <w:t xml:space="preserve"> d’intervenir dans l’ensemble des procédures civiles, administratives, commerciales et pénales susceptibles d’avoir une incidence financière sur le budget de l’État, tout en assumant un rôle stratégique dans la gestion du contentieux arbitral et d'investissement impliquant des personnes morales de droit public.</w:t>
      </w:r>
    </w:p>
    <w:p w14:paraId="0CB37670" w14:textId="77777777" w:rsidR="005B3AF6" w:rsidRPr="00EA2174" w:rsidRDefault="00714532" w:rsidP="005B3AF6">
      <w:pPr>
        <w:pStyle w:val="NormaleWeb"/>
        <w:jc w:val="both"/>
        <w:rPr>
          <w:color w:val="000000" w:themeColor="text1"/>
        </w:rPr>
      </w:pPr>
      <w:r w:rsidRPr="00EA2174">
        <w:rPr>
          <w:color w:val="000000" w:themeColor="text1"/>
        </w:rPr>
        <w:t>De même, la gestion du contentieux arbitral et d'investissement impliquant des personnes morales de droit</w:t>
      </w:r>
      <w:r w:rsidR="008A132E" w:rsidRPr="00EA2174">
        <w:rPr>
          <w:color w:val="000000" w:themeColor="text1"/>
        </w:rPr>
        <w:t xml:space="preserve"> p</w:t>
      </w:r>
      <w:r w:rsidRPr="00EA2174">
        <w:rPr>
          <w:color w:val="000000" w:themeColor="text1"/>
        </w:rPr>
        <w:t xml:space="preserve">ublic représente un enjeu majeur pour </w:t>
      </w:r>
      <w:r w:rsidR="008A132E" w:rsidRPr="00EA2174">
        <w:rPr>
          <w:color w:val="000000" w:themeColor="text1"/>
        </w:rPr>
        <w:t>l’AJR</w:t>
      </w:r>
      <w:r w:rsidRPr="00EA2174">
        <w:rPr>
          <w:color w:val="000000" w:themeColor="text1"/>
        </w:rPr>
        <w:t>, nécessitant une approche rigoureuse et stratégique.</w:t>
      </w:r>
    </w:p>
    <w:p w14:paraId="5BD3616E" w14:textId="77777777" w:rsidR="005B3AF6" w:rsidRPr="00EA2174" w:rsidRDefault="005B3AF6" w:rsidP="005B3AF6">
      <w:pPr>
        <w:pStyle w:val="NormaleWeb"/>
        <w:jc w:val="both"/>
        <w:rPr>
          <w:color w:val="000000" w:themeColor="text1"/>
        </w:rPr>
      </w:pPr>
      <w:r w:rsidRPr="00EA2174">
        <w:rPr>
          <w:color w:val="000000" w:themeColor="text1"/>
        </w:rPr>
        <w:t xml:space="preserve">Par ailleurs, il importe de souligner que les dispositions régissant la procédure contentieuse distinguent entre l’Agence Judiciaire du Royaume et l’institution de l’agent judiciaire du Royaume. Cette distinction a pour principal objectif de définir, dans le premier cas, l’Agence Judiciaire du Royaume en tant que structure administrative, faisant partie des directions relevant de l’autorité gouvernementale en charge de l’économie et des finances tel que prévu au niveau de l’article 16 du décret n° 2-07-995 du 23 chaoual 1429 (23 octobre 2008) relatif aux attributions et à l'organisation du ministère de l'économie et des finances.  </w:t>
      </w:r>
    </w:p>
    <w:p w14:paraId="574DA262" w14:textId="77777777" w:rsidR="00737C80" w:rsidRPr="00EA2174" w:rsidRDefault="002E7DEE" w:rsidP="00995240">
      <w:pPr>
        <w:pStyle w:val="Paragrafoelenco"/>
        <w:numPr>
          <w:ilvl w:val="0"/>
          <w:numId w:val="33"/>
        </w:numPr>
        <w:jc w:val="both"/>
        <w:rPr>
          <w:b/>
          <w:bCs/>
        </w:rPr>
      </w:pPr>
      <w:bookmarkStart w:id="17" w:name="_Toc106025890"/>
      <w:r w:rsidRPr="00EA2174">
        <w:rPr>
          <w:b/>
          <w:bCs/>
        </w:rPr>
        <w:t>Cadre juridique national</w:t>
      </w:r>
      <w:bookmarkEnd w:id="17"/>
    </w:p>
    <w:p w14:paraId="585B793E" w14:textId="77777777" w:rsidR="004B2DEF" w:rsidRPr="00EA2174" w:rsidRDefault="004B2DEF" w:rsidP="004B2DEF">
      <w:pPr>
        <w:pStyle w:val="Paragrafoelenco"/>
        <w:ind w:left="709"/>
        <w:jc w:val="both"/>
        <w:rPr>
          <w:b/>
          <w:bCs/>
        </w:rPr>
      </w:pPr>
    </w:p>
    <w:p w14:paraId="48473217" w14:textId="77777777" w:rsidR="00737C80" w:rsidRPr="00EA2174" w:rsidRDefault="002E7DEE" w:rsidP="005542AE">
      <w:pPr>
        <w:jc w:val="both"/>
      </w:pPr>
      <w:r w:rsidRPr="00EA2174">
        <w:t xml:space="preserve">Un aperçu du cadre juridique national, </w:t>
      </w:r>
      <w:r w:rsidR="006840A7" w:rsidRPr="00EA2174">
        <w:t>les textes</w:t>
      </w:r>
      <w:r w:rsidRPr="00EA2174">
        <w:t xml:space="preserve"> et les conventions applicables sont listés en annexe </w:t>
      </w:r>
      <w:r w:rsidR="005542AE" w:rsidRPr="00EA2174">
        <w:t>2</w:t>
      </w:r>
      <w:r w:rsidRPr="00EA2174">
        <w:t>.</w:t>
      </w:r>
    </w:p>
    <w:p w14:paraId="6E596BC7" w14:textId="77777777" w:rsidR="00737C80" w:rsidRPr="00EA2174" w:rsidRDefault="00737C80">
      <w:pPr>
        <w:jc w:val="both"/>
      </w:pPr>
    </w:p>
    <w:p w14:paraId="77889FCF" w14:textId="77777777" w:rsidR="00737C80" w:rsidRPr="00EA2174" w:rsidRDefault="006840A7">
      <w:pPr>
        <w:pStyle w:val="Titolo2"/>
        <w:numPr>
          <w:ilvl w:val="1"/>
          <w:numId w:val="1"/>
        </w:numPr>
      </w:pPr>
      <w:bookmarkStart w:id="18" w:name="_Toc200114672"/>
      <w:r w:rsidRPr="00EA2174">
        <w:t>Réformes en cours</w:t>
      </w:r>
      <w:bookmarkEnd w:id="18"/>
    </w:p>
    <w:p w14:paraId="4F67C567" w14:textId="22B48EC3" w:rsidR="001F1605" w:rsidRPr="00EA2174" w:rsidRDefault="00F82BCF" w:rsidP="00F82BCF">
      <w:pPr>
        <w:pStyle w:val="NormaleWeb"/>
        <w:jc w:val="both"/>
        <w:rPr>
          <w:color w:val="000000" w:themeColor="text1"/>
        </w:rPr>
      </w:pPr>
      <w:r w:rsidRPr="00F82BCF">
        <w:rPr>
          <w:color w:val="000000" w:themeColor="text1"/>
        </w:rPr>
        <w:t>Le Plan d’Action Stratégique 2024-2028 (PAS), mené sous la direction actuelle de l’Agence Judiciaire du Royaume, s’est donné comme objectifs prioritaires la réalisation des avancées significatives, notamment dans les domaines suivants</w:t>
      </w:r>
      <w:r w:rsidR="001F1605" w:rsidRPr="00EA2174">
        <w:rPr>
          <w:color w:val="000000" w:themeColor="text1"/>
        </w:rPr>
        <w:t xml:space="preserve"> :</w:t>
      </w:r>
    </w:p>
    <w:p w14:paraId="5B0CEE56" w14:textId="77777777" w:rsidR="001F1605" w:rsidRPr="00EA2174" w:rsidRDefault="001F1605" w:rsidP="00280345">
      <w:pPr>
        <w:pStyle w:val="NormaleWeb"/>
        <w:numPr>
          <w:ilvl w:val="0"/>
          <w:numId w:val="9"/>
        </w:numPr>
        <w:jc w:val="both"/>
        <w:rPr>
          <w:color w:val="000000" w:themeColor="text1"/>
        </w:rPr>
      </w:pPr>
      <w:r w:rsidRPr="00EA2174">
        <w:rPr>
          <w:color w:val="000000" w:themeColor="text1"/>
        </w:rPr>
        <w:t>La consolidation des mécanismes de prévention des risques juridiques, permettant d’anticiper efficacement les litiges potentiels ;</w:t>
      </w:r>
    </w:p>
    <w:p w14:paraId="1A2044FE" w14:textId="77777777" w:rsidR="001F1605" w:rsidRPr="00EA2174" w:rsidRDefault="001F1605" w:rsidP="00280345">
      <w:pPr>
        <w:pStyle w:val="NormaleWeb"/>
        <w:numPr>
          <w:ilvl w:val="0"/>
          <w:numId w:val="9"/>
        </w:numPr>
        <w:jc w:val="both"/>
        <w:rPr>
          <w:color w:val="000000" w:themeColor="text1"/>
        </w:rPr>
      </w:pPr>
      <w:r w:rsidRPr="00EA2174">
        <w:rPr>
          <w:color w:val="000000" w:themeColor="text1"/>
        </w:rPr>
        <w:t>L’optimisation de la gestion du contentieux impliquant l’État et ses émanations, grâce à des outils modernes et des processus rationalisés ;</w:t>
      </w:r>
    </w:p>
    <w:p w14:paraId="63037F64" w14:textId="77777777" w:rsidR="001F1605" w:rsidRPr="00EA2174" w:rsidRDefault="001F1605" w:rsidP="00280345">
      <w:pPr>
        <w:pStyle w:val="NormaleWeb"/>
        <w:numPr>
          <w:ilvl w:val="0"/>
          <w:numId w:val="9"/>
        </w:numPr>
        <w:jc w:val="both"/>
        <w:rPr>
          <w:color w:val="000000" w:themeColor="text1"/>
        </w:rPr>
      </w:pPr>
      <w:r w:rsidRPr="00EA2174">
        <w:rPr>
          <w:color w:val="000000" w:themeColor="text1"/>
        </w:rPr>
        <w:t>L’intégration des technologies pour améliorer le suivi et la gestion des dossiers ;</w:t>
      </w:r>
    </w:p>
    <w:p w14:paraId="183B053C" w14:textId="77777777" w:rsidR="001F1605" w:rsidRPr="00EA2174" w:rsidRDefault="001F1605" w:rsidP="00280345">
      <w:pPr>
        <w:pStyle w:val="NormaleWeb"/>
        <w:numPr>
          <w:ilvl w:val="0"/>
          <w:numId w:val="9"/>
        </w:numPr>
        <w:jc w:val="both"/>
        <w:rPr>
          <w:color w:val="000000" w:themeColor="text1"/>
        </w:rPr>
      </w:pPr>
      <w:r w:rsidRPr="00EA2174">
        <w:rPr>
          <w:color w:val="000000" w:themeColor="text1"/>
        </w:rPr>
        <w:t>Atténuer l'impact financier du contentieux de l’Etat sur le budget de l'État en privilégiant, lorsque cela est opportun, le recours aux Modes Alternatifs de Règlement des Différends (MARD), notamment l’arbitrage, la transaction ou la médiation conventionnelle, afin de favoriser des solutions équilibrées et préserver les intérêts financiers de l’État.</w:t>
      </w:r>
    </w:p>
    <w:p w14:paraId="0D8A2A3E" w14:textId="2B48C4C8" w:rsidR="00C37C49" w:rsidRPr="00C37C49" w:rsidRDefault="00C37C49" w:rsidP="00C37C49">
      <w:pPr>
        <w:pStyle w:val="NormaleWeb"/>
        <w:jc w:val="both"/>
        <w:rPr>
          <w:color w:val="000000" w:themeColor="text1"/>
        </w:rPr>
      </w:pPr>
      <w:r w:rsidRPr="00C37C49">
        <w:rPr>
          <w:color w:val="000000" w:themeColor="text1"/>
        </w:rPr>
        <w:t>L’objectif est de faire de l’Agence Judicaire du Royaume, une instituions capable de :</w:t>
      </w:r>
    </w:p>
    <w:p w14:paraId="088357FB" w14:textId="77777777" w:rsidR="00C37C49" w:rsidRPr="00C37C49" w:rsidRDefault="00C37C49" w:rsidP="00C37C49">
      <w:pPr>
        <w:pStyle w:val="NormaleWeb"/>
        <w:numPr>
          <w:ilvl w:val="0"/>
          <w:numId w:val="9"/>
        </w:numPr>
        <w:jc w:val="both"/>
        <w:rPr>
          <w:color w:val="000000" w:themeColor="text1"/>
        </w:rPr>
      </w:pPr>
      <w:r w:rsidRPr="00C37C49">
        <w:rPr>
          <w:color w:val="000000" w:themeColor="text1"/>
        </w:rPr>
        <w:t>Assurer une assistance juridique renforcée aux entités publiques dans toutes les étapes des procédures contentieuses commerciales ;</w:t>
      </w:r>
    </w:p>
    <w:p w14:paraId="31D2E84A" w14:textId="21B1EE12" w:rsidR="00C37C49" w:rsidRPr="00C37C49" w:rsidRDefault="00C37C49" w:rsidP="00C37C49">
      <w:pPr>
        <w:pStyle w:val="NormaleWeb"/>
        <w:numPr>
          <w:ilvl w:val="0"/>
          <w:numId w:val="9"/>
        </w:numPr>
        <w:jc w:val="both"/>
        <w:rPr>
          <w:color w:val="000000" w:themeColor="text1"/>
        </w:rPr>
      </w:pPr>
      <w:r w:rsidRPr="00C37C49">
        <w:rPr>
          <w:color w:val="000000" w:themeColor="text1"/>
        </w:rPr>
        <w:t>Garantir une représentation optimale des intérêts de l’État et des EEP, tant au niveau national qu’international, afin de garantir une défense proactive et efficace ;</w:t>
      </w:r>
      <w:r w:rsidRPr="00C37C49">
        <w:rPr>
          <w:color w:val="000000" w:themeColor="text1"/>
        </w:rPr>
        <w:tab/>
      </w:r>
    </w:p>
    <w:p w14:paraId="032629E4" w14:textId="49D67317" w:rsidR="00C37C49" w:rsidRPr="00C37C49" w:rsidRDefault="00C37C49" w:rsidP="00C37C49">
      <w:pPr>
        <w:pStyle w:val="NormaleWeb"/>
        <w:numPr>
          <w:ilvl w:val="0"/>
          <w:numId w:val="9"/>
        </w:numPr>
        <w:jc w:val="both"/>
        <w:rPr>
          <w:color w:val="000000" w:themeColor="text1"/>
        </w:rPr>
      </w:pPr>
      <w:r>
        <w:rPr>
          <w:color w:val="000000" w:themeColor="text1"/>
        </w:rPr>
        <w:t>A</w:t>
      </w:r>
      <w:r w:rsidRPr="00C37C49">
        <w:rPr>
          <w:color w:val="000000" w:themeColor="text1"/>
        </w:rPr>
        <w:t>ssurer une coordination fluide entre les parties prenantes pour une gestion cohérente des affaires commerciale et d’investissement ;</w:t>
      </w:r>
    </w:p>
    <w:p w14:paraId="697D299E" w14:textId="6A21BC7C" w:rsidR="001F1605" w:rsidRPr="00EA2174" w:rsidRDefault="00C37C49" w:rsidP="00C37C49">
      <w:pPr>
        <w:pStyle w:val="NormaleWeb"/>
        <w:numPr>
          <w:ilvl w:val="0"/>
          <w:numId w:val="9"/>
        </w:numPr>
        <w:jc w:val="both"/>
        <w:rPr>
          <w:color w:val="000000" w:themeColor="text1"/>
        </w:rPr>
      </w:pPr>
      <w:r w:rsidRPr="00C37C49">
        <w:rPr>
          <w:color w:val="000000" w:themeColor="text1"/>
        </w:rPr>
        <w:t>Contribuer à la réduction et à la rationalisation des coûts générés par le contentieux et renforcer les stratégies adaptées pour limiter l’impact financier des litiges.</w:t>
      </w:r>
    </w:p>
    <w:p w14:paraId="01B29035" w14:textId="77777777" w:rsidR="00A67A56" w:rsidRPr="00EA2174" w:rsidRDefault="00A67A56" w:rsidP="00A67A56">
      <w:pPr>
        <w:pStyle w:val="NormaleWeb"/>
        <w:jc w:val="both"/>
        <w:rPr>
          <w:color w:val="000000" w:themeColor="text1"/>
        </w:rPr>
      </w:pPr>
      <w:r w:rsidRPr="00EA2174">
        <w:rPr>
          <w:color w:val="000000" w:themeColor="text1"/>
        </w:rPr>
        <w:t>Pour atteindre ces objectifs, l’AJR a mis en œuvre une série d’actions stratégiques et opérationnelles, dont les principales sont les suivantes :</w:t>
      </w:r>
    </w:p>
    <w:p w14:paraId="3A52F3C2" w14:textId="77777777" w:rsidR="00A67A56" w:rsidRPr="00EA2174" w:rsidRDefault="00084954" w:rsidP="00A67A56">
      <w:pPr>
        <w:pStyle w:val="NormaleWeb"/>
        <w:jc w:val="both"/>
        <w:rPr>
          <w:color w:val="000000" w:themeColor="text1"/>
        </w:rPr>
      </w:pPr>
      <w:r w:rsidRPr="00EA2174">
        <w:rPr>
          <w:b/>
          <w:bCs/>
          <w:color w:val="000000" w:themeColor="text1"/>
        </w:rPr>
        <w:t>-</w:t>
      </w:r>
      <w:r w:rsidR="00A67A56" w:rsidRPr="00EA2174">
        <w:rPr>
          <w:color w:val="000000" w:themeColor="text1"/>
        </w:rPr>
        <w:t xml:space="preserve"> L’AJR a adopté une approche proactive visant à anticiper et à prévenir les litiges en amont. Cela se traduit par une collaboration étroite avec les différents départements et institutions de l’État pour identifier et résoudre les risques juridiques avant qu’ils ne se transforment en contentieux.</w:t>
      </w:r>
    </w:p>
    <w:p w14:paraId="1B5E1D4B" w14:textId="77777777" w:rsidR="00A67A56" w:rsidRPr="00EA2174" w:rsidRDefault="00084954" w:rsidP="00A67A56">
      <w:pPr>
        <w:pStyle w:val="NormaleWeb"/>
        <w:jc w:val="both"/>
        <w:rPr>
          <w:color w:val="000000" w:themeColor="text1"/>
        </w:rPr>
      </w:pPr>
      <w:r w:rsidRPr="00EA2174">
        <w:rPr>
          <w:b/>
          <w:bCs/>
          <w:color w:val="000000" w:themeColor="text1"/>
        </w:rPr>
        <w:t xml:space="preserve">- </w:t>
      </w:r>
      <w:r w:rsidR="00A67A56" w:rsidRPr="00EA2174">
        <w:rPr>
          <w:color w:val="000000" w:themeColor="text1"/>
        </w:rPr>
        <w:t>L’AJR encourage activement l’utilisation de la médiation et de la conciliation pour régler les différends à l’amiable. Ces mécanismes permettent de réduire les délais et les coûts liés aux procédures judiciaires, tout en préservant les relations entre les parties prenantes, ce qui est essentiel pour un climat des affaires serein.</w:t>
      </w:r>
    </w:p>
    <w:p w14:paraId="04967920" w14:textId="77777777" w:rsidR="00A67A56" w:rsidRPr="00EA2174" w:rsidRDefault="00084954" w:rsidP="00A67A56">
      <w:pPr>
        <w:pStyle w:val="NormaleWeb"/>
        <w:jc w:val="both"/>
        <w:rPr>
          <w:color w:val="000000" w:themeColor="text1"/>
        </w:rPr>
      </w:pPr>
      <w:r w:rsidRPr="00EA2174">
        <w:rPr>
          <w:b/>
          <w:bCs/>
          <w:color w:val="000000" w:themeColor="text1"/>
        </w:rPr>
        <w:t>-</w:t>
      </w:r>
      <w:r w:rsidR="00A67A56" w:rsidRPr="00EA2174">
        <w:rPr>
          <w:color w:val="000000" w:themeColor="text1"/>
        </w:rPr>
        <w:t xml:space="preserve"> L’AJR assure une gestion rigoureuse et efficiente des litiges devant les instances judiciaires, arbitrales et de médiation, tant au niveau national qu’international. Cette efficacité permet de minimiser les coûts et l’impact financier des contentieux sur le budget de l’État, tout en renforçant la crédibilité du Maroc en tant que destination attractive pour les investissements.</w:t>
      </w:r>
    </w:p>
    <w:p w14:paraId="1BB180EB" w14:textId="77777777" w:rsidR="00A67A56" w:rsidRPr="00EA2174" w:rsidRDefault="00084954" w:rsidP="00A67A56">
      <w:pPr>
        <w:pStyle w:val="NormaleWeb"/>
        <w:jc w:val="both"/>
        <w:rPr>
          <w:b/>
          <w:bCs/>
          <w:color w:val="000000" w:themeColor="text1"/>
        </w:rPr>
      </w:pPr>
      <w:r w:rsidRPr="00EA2174">
        <w:rPr>
          <w:b/>
          <w:bCs/>
          <w:color w:val="000000" w:themeColor="text1"/>
        </w:rPr>
        <w:t xml:space="preserve">- </w:t>
      </w:r>
      <w:r w:rsidR="00A67A56" w:rsidRPr="00EA2174">
        <w:rPr>
          <w:color w:val="000000" w:themeColor="text1"/>
        </w:rPr>
        <w:t>L’AJR a mis en place des programmes de formation réguliers pour ses agents, afin de garantir une maîtrise approfondie des évolutions législatives et jurisprudentielles. Ces formations permettent à l’Agence de rester à la pointe des pratiques juridiques et de répondre aux besoins complexes des opérateurs économiques.</w:t>
      </w:r>
    </w:p>
    <w:p w14:paraId="03AB6502" w14:textId="6420FE56" w:rsidR="00A67A56" w:rsidRPr="00EA2174" w:rsidRDefault="00084954" w:rsidP="006E5BFE">
      <w:pPr>
        <w:pStyle w:val="NormaleWeb"/>
        <w:jc w:val="both"/>
        <w:rPr>
          <w:color w:val="000000" w:themeColor="text1"/>
        </w:rPr>
      </w:pPr>
      <w:r w:rsidRPr="00EA2174">
        <w:rPr>
          <w:b/>
          <w:bCs/>
          <w:color w:val="000000" w:themeColor="text1"/>
        </w:rPr>
        <w:t xml:space="preserve">- </w:t>
      </w:r>
      <w:r w:rsidR="00A67A56" w:rsidRPr="00EA2174">
        <w:rPr>
          <w:color w:val="000000" w:themeColor="text1"/>
        </w:rPr>
        <w:t>L’AJR a entrepris une digitalisation de ses processus, incluant la gestion électronique des dossiers et le suivi en temps réel des affaires en cours. Cette modernisation s’accompagne de la création d’une base de données centralisée regroupant les législations, les jurisprudences et les doctrines pertinentes, offrant ainsi un accès rapide et fiable à l’information juridique.</w:t>
      </w:r>
    </w:p>
    <w:p w14:paraId="614EA297" w14:textId="77777777" w:rsidR="00A67A56" w:rsidRPr="00EA2174" w:rsidRDefault="00084954" w:rsidP="00A67A56">
      <w:pPr>
        <w:pStyle w:val="NormaleWeb"/>
        <w:jc w:val="both"/>
        <w:rPr>
          <w:color w:val="000000" w:themeColor="text1"/>
        </w:rPr>
      </w:pPr>
      <w:r w:rsidRPr="00EA2174">
        <w:rPr>
          <w:b/>
          <w:bCs/>
          <w:color w:val="000000" w:themeColor="text1"/>
        </w:rPr>
        <w:t xml:space="preserve">- </w:t>
      </w:r>
      <w:r w:rsidR="00A67A56" w:rsidRPr="00EA2174">
        <w:rPr>
          <w:color w:val="000000" w:themeColor="text1"/>
        </w:rPr>
        <w:t>L’AJR publie régulièrement des rapports détaillés sur ses activités, incluant des statistiques sur les litiges gérés et résolus. Cette transparence renforce la confiance des citoyens, des entreprises et des investisseurs dans le système judiciaire, tout en assurant une gouvernance responsable et axée sur les résultats.</w:t>
      </w:r>
    </w:p>
    <w:p w14:paraId="20C062C9" w14:textId="77777777" w:rsidR="00193615" w:rsidRPr="00EA2174" w:rsidRDefault="00193615" w:rsidP="00193615">
      <w:pPr>
        <w:jc w:val="both"/>
        <w:rPr>
          <w:color w:val="000000" w:themeColor="text1"/>
        </w:rPr>
      </w:pPr>
      <w:r w:rsidRPr="00EA2174">
        <w:rPr>
          <w:color w:val="000000" w:themeColor="text1"/>
        </w:rPr>
        <w:t xml:space="preserve">Enfin, l'Agent Judiciaire du Royaume (AJR) dispose de plusieurs outils méthodologiques avancés pour garantir la sécurité juridique des engagements de l'État et prévenir le contentieux. Ces dispositifs ont été spécialement conçus pour permettre une gestion proactive des risques juridiques et assurer une vigilance continue face aux évolutions légales et contractuelles. Parmi ces outils, on retrouve </w:t>
      </w:r>
      <w:r w:rsidRPr="00EA2174">
        <w:rPr>
          <w:b/>
          <w:bCs/>
          <w:color w:val="000000" w:themeColor="text1"/>
          <w:u w:val="single"/>
        </w:rPr>
        <w:t>la cartographie des risques juridique</w:t>
      </w:r>
      <w:r w:rsidRPr="00EA2174">
        <w:rPr>
          <w:color w:val="000000" w:themeColor="text1"/>
        </w:rPr>
        <w:t xml:space="preserve">s, qui aide à identifier et évaluer les risques associés aux engagements contractuels de l'État, ainsi que </w:t>
      </w:r>
      <w:r w:rsidRPr="00EA2174">
        <w:rPr>
          <w:b/>
          <w:bCs/>
          <w:color w:val="000000" w:themeColor="text1"/>
          <w:u w:val="single"/>
        </w:rPr>
        <w:t>la cellule de veille juridique</w:t>
      </w:r>
      <w:r w:rsidRPr="00EA2174">
        <w:rPr>
          <w:color w:val="000000" w:themeColor="text1"/>
        </w:rPr>
        <w:t xml:space="preserve">, qui surveille les évolutions des normes juridiques nationales et internationales. Enfin, </w:t>
      </w:r>
      <w:r w:rsidRPr="00EA2174">
        <w:rPr>
          <w:b/>
          <w:bCs/>
          <w:color w:val="000000" w:themeColor="text1"/>
        </w:rPr>
        <w:t>la plateforme "Mouwakaba</w:t>
      </w:r>
      <w:r w:rsidRPr="00EA2174">
        <w:rPr>
          <w:color w:val="000000" w:themeColor="text1"/>
        </w:rPr>
        <w:t xml:space="preserve">" offre un soutien précieux aux administrations publiques et aux établissements publics (EEP) dans la gestion et la prévention des contentieux. La mise en place récente de ces outils s’inscrit dans le plan d’action stratégique de Monsieur l’Agent Judiciaire du Royaume (2024-2028) visant à renforcer l’efficacité et la proactivité de l'Agent Judiciaire du Royaume (AJR) dans la gestion des risques juridiques et la prévention des contentieux. </w:t>
      </w:r>
    </w:p>
    <w:p w14:paraId="0F9A6A07" w14:textId="77777777" w:rsidR="00570BA4" w:rsidRPr="00EA2174" w:rsidRDefault="00570BA4">
      <w:pPr>
        <w:spacing w:after="60"/>
        <w:jc w:val="both"/>
        <w:rPr>
          <w:color w:val="000000" w:themeColor="text1"/>
        </w:rPr>
      </w:pPr>
    </w:p>
    <w:p w14:paraId="31E23A14" w14:textId="77777777" w:rsidR="003D6A9F" w:rsidRDefault="002E7DEE">
      <w:pPr>
        <w:pStyle w:val="Titolo2"/>
        <w:numPr>
          <w:ilvl w:val="1"/>
          <w:numId w:val="1"/>
        </w:numPr>
      </w:pPr>
      <w:bookmarkStart w:id="19" w:name="_Toc200114673"/>
      <w:r w:rsidRPr="00EA2174">
        <w:t>Activités connexes</w:t>
      </w:r>
      <w:bookmarkEnd w:id="19"/>
    </w:p>
    <w:p w14:paraId="4EDAD932" w14:textId="77777777" w:rsidR="002346B2" w:rsidRPr="00875CB6" w:rsidRDefault="002346B2" w:rsidP="00875CB6">
      <w:pPr>
        <w:jc w:val="both"/>
        <w:rPr>
          <w:color w:val="000000" w:themeColor="text1"/>
        </w:rPr>
      </w:pPr>
      <w:r w:rsidRPr="00875CB6">
        <w:rPr>
          <w:color w:val="000000" w:themeColor="text1"/>
        </w:rPr>
        <w:t xml:space="preserve">La réforme de l’administration est au cœur du Nouveau Modèle de Développement et </w:t>
      </w:r>
      <w:r w:rsidRPr="00995240">
        <w:rPr>
          <w:color w:val="000000" w:themeColor="text1"/>
        </w:rPr>
        <w:t xml:space="preserve">du </w:t>
      </w:r>
      <w:r w:rsidRPr="00875CB6">
        <w:rPr>
          <w:color w:val="000000" w:themeColor="text1"/>
        </w:rPr>
        <w:t>Programme gouvernemental 2021-26, qui visent notamment le rapprochement et la modernisation de l'administration, l’amélioration de la transparence et l’accès à l’information ainsi que l’accélération de la transition numérique.</w:t>
      </w:r>
    </w:p>
    <w:p w14:paraId="3CCB3B64" w14:textId="77777777" w:rsidR="002346B2" w:rsidRPr="00875CB6" w:rsidRDefault="002346B2" w:rsidP="00995240">
      <w:pPr>
        <w:jc w:val="both"/>
        <w:rPr>
          <w:color w:val="000000" w:themeColor="text1"/>
        </w:rPr>
      </w:pPr>
    </w:p>
    <w:p w14:paraId="5BB23834" w14:textId="13BE97FA" w:rsidR="002346B2" w:rsidRPr="00875CB6" w:rsidRDefault="002346B2" w:rsidP="00995240">
      <w:pPr>
        <w:jc w:val="both"/>
        <w:rPr>
          <w:color w:val="000000" w:themeColor="text1"/>
        </w:rPr>
      </w:pPr>
      <w:r w:rsidRPr="00875CB6">
        <w:rPr>
          <w:color w:val="000000" w:themeColor="text1"/>
        </w:rPr>
        <w:t>La RAP au Maroc est soutenue par l’Union européenne via un important programme d’Appui Européen à la Réforme de l’Administration Publique (AERAP) signé le 2 mars 2023, doté d’un budget de 50M</w:t>
      </w:r>
      <w:r w:rsidR="00722379">
        <w:rPr>
          <w:color w:val="000000" w:themeColor="text1"/>
        </w:rPr>
        <w:t xml:space="preserve"> </w:t>
      </w:r>
      <w:r w:rsidRPr="00875CB6">
        <w:rPr>
          <w:color w:val="000000" w:themeColor="text1"/>
        </w:rPr>
        <w:t>EUR (dont 47.5M</w:t>
      </w:r>
      <w:r w:rsidR="00722379">
        <w:rPr>
          <w:color w:val="000000" w:themeColor="text1"/>
        </w:rPr>
        <w:t xml:space="preserve"> </w:t>
      </w:r>
      <w:r w:rsidRPr="00875CB6">
        <w:rPr>
          <w:color w:val="000000" w:themeColor="text1"/>
        </w:rPr>
        <w:t>EUR d’appuis budgétaires) et visant l’amélioration de l’accès aux services publics par la simplification des procédures, la déconcentration et la digitalisation, qui constituent également des points d’entrée de la phase II du PARJ.</w:t>
      </w:r>
    </w:p>
    <w:p w14:paraId="5F230AAA" w14:textId="77777777" w:rsidR="003D6A9F" w:rsidRPr="00995240" w:rsidRDefault="003D6A9F" w:rsidP="006736F1">
      <w:pPr>
        <w:jc w:val="both"/>
        <w:rPr>
          <w:color w:val="000000" w:themeColor="text1"/>
        </w:rPr>
      </w:pPr>
    </w:p>
    <w:p w14:paraId="5E5D0B8D" w14:textId="77777777" w:rsidR="003D6A9F" w:rsidRDefault="006736F1" w:rsidP="00517BD9">
      <w:pPr>
        <w:jc w:val="both"/>
        <w:rPr>
          <w:color w:val="000000" w:themeColor="text1"/>
        </w:rPr>
      </w:pPr>
      <w:r w:rsidRPr="00995240">
        <w:rPr>
          <w:color w:val="000000" w:themeColor="text1"/>
        </w:rPr>
        <w:t>Par ailleurs, l</w:t>
      </w:r>
      <w:r w:rsidR="002346B2" w:rsidRPr="00995240">
        <w:rPr>
          <w:color w:val="000000" w:themeColor="text1"/>
        </w:rPr>
        <w:t>e concours de l’Union européenne au secteur de la justice, initié en décembre 2015 avec le lancement du Programme d’appui à la réforme de la justice (PARJ), se poursuit aujourd’hui avec la phase II du PARJ</w:t>
      </w:r>
      <w:r w:rsidRPr="00995240">
        <w:rPr>
          <w:color w:val="000000" w:themeColor="text1"/>
        </w:rPr>
        <w:t xml:space="preserve">. Cette nouvelle phase est </w:t>
      </w:r>
      <w:r w:rsidR="003D6A9F" w:rsidRPr="00995240">
        <w:rPr>
          <w:color w:val="000000" w:themeColor="text1"/>
        </w:rPr>
        <w:t xml:space="preserve">visée par la convention de financement signée le 15 septembre 2023, </w:t>
      </w:r>
      <w:r w:rsidRPr="00995240">
        <w:rPr>
          <w:color w:val="000000" w:themeColor="text1"/>
        </w:rPr>
        <w:t xml:space="preserve">elle </w:t>
      </w:r>
      <w:r w:rsidR="003D6A9F" w:rsidRPr="00995240">
        <w:rPr>
          <w:color w:val="000000" w:themeColor="text1"/>
        </w:rPr>
        <w:t xml:space="preserve">prolonge l’appui de l’UE au secteur, avec un accent particulier placé sur l’amélioration de l’efficacité juridictionnelle et l’accès à la justice. Parmi les priorités de la phase II figurent l’amélioration de l’interaction entre les acteurs de la justice, l’accès à la justice des populations vulnérables et la justice adaptée aux enfants, la promotion de l'égalité de genre, l’inclusion et la lutte contre la discrimination, la lutte contre les violences faites aux femmes et contre la traite des êtres humains, la rationalisation du recours à la privation de liberté et l’utilisation de mesures alternatives à la privation de liberté. </w:t>
      </w:r>
    </w:p>
    <w:p w14:paraId="3290FA5D" w14:textId="77777777" w:rsidR="00BF5091" w:rsidRDefault="00BF5091" w:rsidP="00995240">
      <w:pPr>
        <w:jc w:val="both"/>
        <w:rPr>
          <w:color w:val="000000" w:themeColor="text1"/>
        </w:rPr>
      </w:pPr>
    </w:p>
    <w:p w14:paraId="7EE188F7" w14:textId="77777777" w:rsidR="00BF5091" w:rsidRPr="00995240" w:rsidRDefault="00BF5091" w:rsidP="009B6149">
      <w:pPr>
        <w:pStyle w:val="Titolo2"/>
        <w:numPr>
          <w:ilvl w:val="1"/>
          <w:numId w:val="1"/>
        </w:numPr>
      </w:pPr>
      <w:bookmarkStart w:id="20" w:name="_Toc200114674"/>
      <w:r>
        <w:t>Liste des disposition de l’acquis de l’UE/des normes applicables :</w:t>
      </w:r>
      <w:bookmarkEnd w:id="20"/>
      <w:r>
        <w:t xml:space="preserve"> </w:t>
      </w:r>
    </w:p>
    <w:p w14:paraId="2D505B00" w14:textId="77777777" w:rsidR="003D6A9F" w:rsidRPr="00875CB6" w:rsidRDefault="009B6149" w:rsidP="00875CB6">
      <w:pPr>
        <w:rPr>
          <w:lang w:val="fr-BE"/>
        </w:rPr>
      </w:pPr>
      <w:r>
        <w:rPr>
          <w:lang w:val="fr-BE"/>
        </w:rPr>
        <w:t>Non applicable.</w:t>
      </w:r>
    </w:p>
    <w:p w14:paraId="7EBFDECC" w14:textId="77777777" w:rsidR="00737C80" w:rsidRPr="00EA2174" w:rsidRDefault="00FB00C7" w:rsidP="00FB00C7">
      <w:pPr>
        <w:pStyle w:val="Titolo2"/>
        <w:numPr>
          <w:ilvl w:val="1"/>
          <w:numId w:val="1"/>
        </w:numPr>
      </w:pPr>
      <w:bookmarkStart w:id="21" w:name="_Toc200114675"/>
      <w:r w:rsidRPr="00FB00C7">
        <w:t>Volets et résultats par volet</w:t>
      </w:r>
      <w:bookmarkEnd w:id="21"/>
    </w:p>
    <w:p w14:paraId="21D3231C" w14:textId="77777777" w:rsidR="00EF6A89" w:rsidRPr="00995240" w:rsidRDefault="00EF6A89" w:rsidP="00EF6A89">
      <w:pPr>
        <w:keepNext/>
        <w:keepLines/>
        <w:spacing w:before="200" w:line="276" w:lineRule="auto"/>
        <w:outlineLvl w:val="1"/>
        <w:rPr>
          <w:rFonts w:eastAsiaTheme="majorEastAsia"/>
          <w:b/>
          <w:bCs/>
          <w:lang w:eastAsia="en-US"/>
        </w:rPr>
      </w:pPr>
      <w:bookmarkStart w:id="22" w:name="_Toc198024344"/>
      <w:bookmarkStart w:id="23" w:name="_Toc198043449"/>
      <w:bookmarkStart w:id="24" w:name="_Toc200114676"/>
      <w:r w:rsidRPr="00995240">
        <w:rPr>
          <w:rFonts w:eastAsiaTheme="majorEastAsia"/>
          <w:b/>
          <w:bCs/>
          <w:lang w:eastAsia="en-US"/>
        </w:rPr>
        <w:t>Volet 1</w:t>
      </w:r>
      <w:r w:rsidR="0049794B">
        <w:rPr>
          <w:rFonts w:eastAsiaTheme="majorEastAsia"/>
          <w:b/>
          <w:bCs/>
          <w:lang w:eastAsia="en-US"/>
        </w:rPr>
        <w:t> </w:t>
      </w:r>
      <w:r w:rsidR="009B6149">
        <w:rPr>
          <w:rFonts w:eastAsiaTheme="majorEastAsia"/>
          <w:b/>
          <w:bCs/>
          <w:lang w:eastAsia="en-US"/>
        </w:rPr>
        <w:t xml:space="preserve">: </w:t>
      </w:r>
      <w:r w:rsidR="009B6149" w:rsidRPr="00995240">
        <w:rPr>
          <w:rFonts w:eastAsiaTheme="majorEastAsia"/>
          <w:b/>
          <w:bCs/>
          <w:lang w:eastAsia="en-US"/>
        </w:rPr>
        <w:t>Gouvernance</w:t>
      </w:r>
      <w:r w:rsidRPr="00995240">
        <w:rPr>
          <w:rFonts w:eastAsiaTheme="majorEastAsia"/>
          <w:b/>
          <w:bCs/>
          <w:lang w:eastAsia="en-US"/>
        </w:rPr>
        <w:t xml:space="preserve"> juridiqu</w:t>
      </w:r>
      <w:r w:rsidR="00A6750E" w:rsidRPr="00995240">
        <w:rPr>
          <w:rFonts w:eastAsiaTheme="majorEastAsia"/>
          <w:b/>
          <w:bCs/>
          <w:lang w:eastAsia="en-US"/>
        </w:rPr>
        <w:t>e</w:t>
      </w:r>
      <w:r w:rsidR="00F1519B" w:rsidRPr="00995240">
        <w:rPr>
          <w:rFonts w:eastAsiaTheme="majorEastAsia"/>
          <w:b/>
          <w:bCs/>
          <w:lang w:eastAsia="en-US"/>
        </w:rPr>
        <w:t xml:space="preserve">, </w:t>
      </w:r>
      <w:r w:rsidR="002F5608" w:rsidRPr="00995240">
        <w:rPr>
          <w:rFonts w:eastAsiaTheme="majorEastAsia"/>
          <w:b/>
          <w:bCs/>
          <w:lang w:eastAsia="en-US"/>
        </w:rPr>
        <w:t>normative</w:t>
      </w:r>
      <w:r w:rsidR="0034351D">
        <w:rPr>
          <w:rFonts w:eastAsiaTheme="majorEastAsia"/>
          <w:b/>
          <w:bCs/>
          <w:lang w:eastAsia="en-US"/>
        </w:rPr>
        <w:t>.</w:t>
      </w:r>
      <w:bookmarkEnd w:id="22"/>
      <w:bookmarkEnd w:id="23"/>
      <w:bookmarkEnd w:id="24"/>
    </w:p>
    <w:p w14:paraId="3BF6AB56" w14:textId="77777777" w:rsidR="00EF6A89" w:rsidRDefault="00EF6A89" w:rsidP="009B6149">
      <w:pPr>
        <w:pBdr>
          <w:bottom w:val="single" w:sz="4" w:space="4" w:color="4F81BD" w:themeColor="accent1"/>
        </w:pBdr>
        <w:spacing w:before="200" w:after="280" w:line="276" w:lineRule="auto"/>
        <w:ind w:right="936"/>
        <w:rPr>
          <w:rFonts w:eastAsiaTheme="minorEastAsia"/>
          <w:b/>
          <w:bCs/>
          <w:i/>
          <w:iCs/>
          <w:lang w:eastAsia="en-US"/>
        </w:rPr>
      </w:pPr>
      <w:r w:rsidRPr="00995240">
        <w:rPr>
          <w:rFonts w:eastAsiaTheme="minorEastAsia"/>
          <w:b/>
          <w:bCs/>
          <w:i/>
          <w:iCs/>
          <w:lang w:eastAsia="en-US"/>
        </w:rPr>
        <w:t>Résultat attendu</w:t>
      </w:r>
      <w:r w:rsidR="002608F9" w:rsidRPr="00995240">
        <w:rPr>
          <w:rFonts w:eastAsiaTheme="minorEastAsia"/>
          <w:b/>
          <w:bCs/>
          <w:i/>
          <w:iCs/>
          <w:lang w:eastAsia="en-US"/>
        </w:rPr>
        <w:t xml:space="preserve"> n°1</w:t>
      </w:r>
      <w:r w:rsidRPr="00995240">
        <w:rPr>
          <w:rFonts w:eastAsiaTheme="minorEastAsia"/>
          <w:b/>
          <w:bCs/>
          <w:i/>
          <w:iCs/>
          <w:lang w:eastAsia="en-US"/>
        </w:rPr>
        <w:t xml:space="preserve"> :</w:t>
      </w:r>
      <w:r w:rsidR="004D0230" w:rsidRPr="00995240">
        <w:rPr>
          <w:rFonts w:eastAsiaTheme="minorEastAsia"/>
          <w:b/>
          <w:bCs/>
          <w:i/>
          <w:iCs/>
          <w:lang w:eastAsia="en-US"/>
        </w:rPr>
        <w:t xml:space="preserve"> le cadre de gouvernance </w:t>
      </w:r>
      <w:r w:rsidR="001E05BA">
        <w:rPr>
          <w:rFonts w:eastAsiaTheme="minorEastAsia"/>
          <w:b/>
          <w:bCs/>
          <w:i/>
          <w:iCs/>
          <w:lang w:eastAsia="en-US"/>
        </w:rPr>
        <w:t xml:space="preserve">normative </w:t>
      </w:r>
      <w:r w:rsidR="004D0230" w:rsidRPr="00995240">
        <w:rPr>
          <w:rFonts w:eastAsiaTheme="minorEastAsia"/>
          <w:b/>
          <w:bCs/>
          <w:i/>
          <w:iCs/>
          <w:lang w:eastAsia="en-US"/>
        </w:rPr>
        <w:t>juridique</w:t>
      </w:r>
      <w:r w:rsidR="00A6750E" w:rsidRPr="00995240">
        <w:rPr>
          <w:rFonts w:eastAsiaTheme="minorEastAsia"/>
          <w:b/>
          <w:bCs/>
          <w:i/>
          <w:iCs/>
          <w:lang w:eastAsia="en-US"/>
        </w:rPr>
        <w:t xml:space="preserve"> </w:t>
      </w:r>
      <w:r w:rsidR="004D0230" w:rsidRPr="00995240">
        <w:rPr>
          <w:rFonts w:eastAsiaTheme="minorEastAsia"/>
          <w:b/>
          <w:bCs/>
          <w:i/>
          <w:iCs/>
          <w:lang w:eastAsia="en-US"/>
        </w:rPr>
        <w:t>de l’Agence Judiciaire du Royaume est mis à niveau</w:t>
      </w:r>
      <w:r w:rsidR="001E05BA">
        <w:rPr>
          <w:rFonts w:eastAsiaTheme="minorEastAsia"/>
          <w:b/>
          <w:bCs/>
          <w:i/>
          <w:iCs/>
          <w:lang w:eastAsia="en-US"/>
        </w:rPr>
        <w:t>.</w:t>
      </w:r>
    </w:p>
    <w:p w14:paraId="31733778" w14:textId="2DAA9617" w:rsidR="00317EB0" w:rsidRPr="008F3758" w:rsidRDefault="00EF6A89" w:rsidP="008F3758">
      <w:pPr>
        <w:jc w:val="both"/>
        <w:rPr>
          <w:rFonts w:eastAsiaTheme="minorEastAsia"/>
          <w:lang w:eastAsia="en-US"/>
        </w:rPr>
      </w:pPr>
      <w:r w:rsidRPr="00995240">
        <w:rPr>
          <w:rFonts w:eastAsiaTheme="minorEastAsia"/>
          <w:lang w:eastAsia="en-US"/>
        </w:rPr>
        <w:t xml:space="preserve">Ce </w:t>
      </w:r>
      <w:r w:rsidR="001E05BA">
        <w:rPr>
          <w:rFonts w:eastAsiaTheme="minorEastAsia"/>
          <w:lang w:eastAsia="en-US"/>
        </w:rPr>
        <w:t>résultat</w:t>
      </w:r>
      <w:r w:rsidR="001E05BA" w:rsidRPr="00995240">
        <w:rPr>
          <w:rFonts w:eastAsiaTheme="minorEastAsia"/>
          <w:lang w:eastAsia="en-US"/>
        </w:rPr>
        <w:t xml:space="preserve"> </w:t>
      </w:r>
      <w:r w:rsidRPr="00995240">
        <w:rPr>
          <w:rFonts w:eastAsiaTheme="minorEastAsia"/>
          <w:lang w:eastAsia="en-US"/>
        </w:rPr>
        <w:t>vise à mettre à niveau le cadre de gouvernance juridique de l’Agence Judiciaire du Royaume, afin d’assurer un alignement progressif avec les standards européens. Il s’agit notamment de clarifier</w:t>
      </w:r>
      <w:r w:rsidR="004B54B1" w:rsidRPr="00995240">
        <w:rPr>
          <w:rFonts w:eastAsiaTheme="minorEastAsia"/>
          <w:lang w:eastAsia="en-US"/>
        </w:rPr>
        <w:t xml:space="preserve"> les règles et les structures qui encadrent son fonctionnement, dans le cadre de l'application de la loi et de la gestion des affaires judiciaires au Maroc.</w:t>
      </w:r>
    </w:p>
    <w:p w14:paraId="734557E9" w14:textId="77777777" w:rsidR="002F5608" w:rsidRPr="00995240" w:rsidRDefault="002F5608" w:rsidP="002F5608">
      <w:pPr>
        <w:keepNext/>
        <w:keepLines/>
        <w:spacing w:before="200" w:line="276" w:lineRule="auto"/>
        <w:outlineLvl w:val="1"/>
        <w:rPr>
          <w:rFonts w:eastAsiaTheme="majorEastAsia"/>
          <w:b/>
          <w:bCs/>
          <w:lang w:eastAsia="en-US"/>
        </w:rPr>
      </w:pPr>
      <w:bookmarkStart w:id="25" w:name="_Toc198024345"/>
      <w:bookmarkStart w:id="26" w:name="_Toc198043450"/>
      <w:bookmarkStart w:id="27" w:name="_Toc200114677"/>
      <w:r w:rsidRPr="00995240">
        <w:rPr>
          <w:rFonts w:eastAsiaTheme="majorEastAsia"/>
          <w:b/>
          <w:bCs/>
          <w:lang w:eastAsia="en-US"/>
        </w:rPr>
        <w:t>Volet 2 : Renforcement institutionnel et organisationnel</w:t>
      </w:r>
      <w:bookmarkEnd w:id="25"/>
      <w:bookmarkEnd w:id="26"/>
      <w:bookmarkEnd w:id="27"/>
    </w:p>
    <w:p w14:paraId="464A73DD" w14:textId="77777777" w:rsidR="00B76897" w:rsidRDefault="00B76897" w:rsidP="00995240">
      <w:pPr>
        <w:pBdr>
          <w:bottom w:val="single" w:sz="4" w:space="4" w:color="4F81BD" w:themeColor="accent1"/>
        </w:pBdr>
        <w:spacing w:before="200" w:after="280" w:line="276" w:lineRule="auto"/>
        <w:ind w:right="936"/>
        <w:rPr>
          <w:rFonts w:eastAsiaTheme="minorEastAsia"/>
          <w:b/>
          <w:bCs/>
          <w:i/>
          <w:iCs/>
          <w:lang w:eastAsia="en-US"/>
        </w:rPr>
      </w:pPr>
      <w:r w:rsidRPr="00995240">
        <w:rPr>
          <w:rFonts w:eastAsiaTheme="minorEastAsia"/>
          <w:b/>
          <w:bCs/>
          <w:i/>
          <w:iCs/>
          <w:lang w:eastAsia="en-US"/>
        </w:rPr>
        <w:t xml:space="preserve">Résultat attendu </w:t>
      </w:r>
      <w:r w:rsidR="002608F9" w:rsidRPr="00995240">
        <w:rPr>
          <w:rFonts w:eastAsiaTheme="minorEastAsia"/>
          <w:b/>
          <w:bCs/>
          <w:i/>
          <w:iCs/>
          <w:lang w:eastAsia="en-US"/>
        </w:rPr>
        <w:t>n°2</w:t>
      </w:r>
      <w:r w:rsidR="00317EB0" w:rsidRPr="00995240">
        <w:rPr>
          <w:rFonts w:eastAsiaTheme="minorEastAsia"/>
          <w:b/>
          <w:bCs/>
          <w:i/>
          <w:iCs/>
          <w:lang w:eastAsia="en-US"/>
        </w:rPr>
        <w:t xml:space="preserve">.1 </w:t>
      </w:r>
      <w:r w:rsidRPr="00995240">
        <w:rPr>
          <w:rFonts w:eastAsiaTheme="minorEastAsia"/>
          <w:b/>
          <w:bCs/>
          <w:i/>
          <w:iCs/>
          <w:lang w:eastAsia="en-US"/>
        </w:rPr>
        <w:t>:</w:t>
      </w:r>
      <w:r w:rsidR="004D0230" w:rsidRPr="00995240">
        <w:rPr>
          <w:rFonts w:eastAsiaTheme="minorEastAsia"/>
          <w:b/>
          <w:bCs/>
          <w:i/>
          <w:iCs/>
          <w:lang w:eastAsia="en-US"/>
        </w:rPr>
        <w:t xml:space="preserve"> les aspects institutionnels et organisationnels de l’Agence sont renforcés</w:t>
      </w:r>
      <w:r w:rsidR="008D6D59" w:rsidRPr="00995240">
        <w:rPr>
          <w:rFonts w:eastAsiaTheme="minorEastAsia"/>
          <w:b/>
          <w:bCs/>
          <w:i/>
          <w:iCs/>
          <w:lang w:eastAsia="en-US"/>
        </w:rPr>
        <w:t>.</w:t>
      </w:r>
    </w:p>
    <w:p w14:paraId="314BC69E" w14:textId="77777777" w:rsidR="009B6149" w:rsidRPr="00995240" w:rsidRDefault="009B6149" w:rsidP="009B6149">
      <w:pPr>
        <w:spacing w:after="200" w:line="276" w:lineRule="auto"/>
        <w:jc w:val="both"/>
        <w:rPr>
          <w:rFonts w:eastAsiaTheme="minorEastAsia"/>
          <w:lang w:eastAsia="en-US"/>
        </w:rPr>
      </w:pPr>
      <w:r w:rsidRPr="00995240">
        <w:rPr>
          <w:rFonts w:eastAsiaTheme="minorEastAsia"/>
          <w:lang w:eastAsia="en-US"/>
        </w:rPr>
        <w:t xml:space="preserve">Cet aspect a pour but d'améliorer l'organisation interne de l'Agence, de préciser les missions et d'accroître la coordination institutionnelle. </w:t>
      </w:r>
    </w:p>
    <w:p w14:paraId="430F735D" w14:textId="77777777" w:rsidR="0034351D" w:rsidRPr="00995240" w:rsidRDefault="0034351D" w:rsidP="00995240">
      <w:pPr>
        <w:pBdr>
          <w:bottom w:val="single" w:sz="4" w:space="4" w:color="4F81BD" w:themeColor="accent1"/>
        </w:pBdr>
        <w:spacing w:before="200" w:after="280" w:line="276" w:lineRule="auto"/>
        <w:ind w:right="936"/>
        <w:rPr>
          <w:rFonts w:eastAsiaTheme="minorEastAsia"/>
          <w:b/>
          <w:bCs/>
          <w:i/>
          <w:iCs/>
          <w:lang w:eastAsia="en-US"/>
        </w:rPr>
      </w:pPr>
      <w:r w:rsidRPr="0034351D">
        <w:rPr>
          <w:rFonts w:eastAsiaTheme="minorEastAsia"/>
          <w:b/>
          <w:bCs/>
          <w:i/>
          <w:iCs/>
          <w:lang w:eastAsia="en-US"/>
        </w:rPr>
        <w:t>Résultat attendu n°2</w:t>
      </w:r>
      <w:r w:rsidRPr="00BF5091">
        <w:rPr>
          <w:rFonts w:eastAsiaTheme="minorEastAsia"/>
          <w:b/>
          <w:bCs/>
          <w:i/>
          <w:iCs/>
          <w:lang w:eastAsia="en-US"/>
        </w:rPr>
        <w:t>.2 : le positionnement stratégique de l’agence est renforcé</w:t>
      </w:r>
    </w:p>
    <w:p w14:paraId="68438E24" w14:textId="032F5F0D" w:rsidR="005A6FA4" w:rsidRPr="00995240" w:rsidRDefault="005A6FA4" w:rsidP="008F3758">
      <w:pPr>
        <w:spacing w:before="100" w:beforeAutospacing="1" w:after="100" w:afterAutospacing="1"/>
        <w:jc w:val="both"/>
      </w:pPr>
      <w:r w:rsidRPr="00995240">
        <w:t>Ce volet vise à développer une vision à long terme, axée sur la prévention des litiges et la responsabilisation de l’État dans sa g</w:t>
      </w:r>
      <w:r w:rsidR="008F3758">
        <w:t>estion des affaires juridiques.</w:t>
      </w:r>
    </w:p>
    <w:p w14:paraId="02B0E09C" w14:textId="77777777" w:rsidR="00EF6A89" w:rsidRPr="00995240" w:rsidRDefault="00EF6A89" w:rsidP="00114D66">
      <w:pPr>
        <w:keepNext/>
        <w:keepLines/>
        <w:spacing w:before="200" w:line="276" w:lineRule="auto"/>
        <w:outlineLvl w:val="1"/>
        <w:rPr>
          <w:rFonts w:eastAsiaTheme="majorEastAsia"/>
          <w:b/>
          <w:bCs/>
          <w:lang w:eastAsia="en-US"/>
        </w:rPr>
      </w:pPr>
      <w:bookmarkStart w:id="28" w:name="_Toc198024346"/>
      <w:bookmarkStart w:id="29" w:name="_Toc198043451"/>
      <w:bookmarkStart w:id="30" w:name="_Toc200114678"/>
      <w:r w:rsidRPr="00995240">
        <w:rPr>
          <w:rFonts w:eastAsiaTheme="majorEastAsia"/>
          <w:b/>
          <w:bCs/>
          <w:lang w:eastAsia="en-US"/>
        </w:rPr>
        <w:t xml:space="preserve">Volet </w:t>
      </w:r>
      <w:r w:rsidR="00114D66" w:rsidRPr="00995240">
        <w:rPr>
          <w:rFonts w:eastAsiaTheme="majorEastAsia"/>
          <w:b/>
          <w:bCs/>
          <w:lang w:eastAsia="en-US"/>
        </w:rPr>
        <w:t xml:space="preserve">3 </w:t>
      </w:r>
      <w:r w:rsidRPr="00995240">
        <w:rPr>
          <w:rFonts w:eastAsiaTheme="majorEastAsia"/>
          <w:b/>
          <w:bCs/>
          <w:lang w:eastAsia="en-US"/>
        </w:rPr>
        <w:t>: Modes alternatifs de règlement des litiges (MARL) et rédaction des contrats</w:t>
      </w:r>
      <w:bookmarkEnd w:id="28"/>
      <w:bookmarkEnd w:id="29"/>
      <w:bookmarkEnd w:id="30"/>
    </w:p>
    <w:p w14:paraId="56A578DE" w14:textId="77777777" w:rsidR="00EF6A89" w:rsidRPr="00995240" w:rsidRDefault="00EF6A89" w:rsidP="009B6149">
      <w:pPr>
        <w:pBdr>
          <w:bottom w:val="single" w:sz="4" w:space="4" w:color="4F81BD" w:themeColor="accent1"/>
        </w:pBdr>
        <w:spacing w:before="200" w:after="280" w:line="276" w:lineRule="auto"/>
        <w:ind w:right="936"/>
        <w:rPr>
          <w:rFonts w:eastAsiaTheme="minorEastAsia"/>
          <w:b/>
          <w:i/>
          <w:lang w:eastAsia="en-US"/>
        </w:rPr>
      </w:pPr>
      <w:r w:rsidRPr="00995240">
        <w:rPr>
          <w:rFonts w:eastAsiaTheme="minorEastAsia"/>
          <w:b/>
          <w:i/>
          <w:lang w:eastAsia="en-US"/>
        </w:rPr>
        <w:t xml:space="preserve">Résultat attendu </w:t>
      </w:r>
      <w:r w:rsidR="002608F9" w:rsidRPr="00995240">
        <w:rPr>
          <w:rFonts w:eastAsiaTheme="minorEastAsia"/>
          <w:b/>
          <w:i/>
          <w:lang w:eastAsia="en-US"/>
        </w:rPr>
        <w:t>n°3</w:t>
      </w:r>
      <w:r w:rsidR="0034351D" w:rsidRPr="00995240">
        <w:rPr>
          <w:rFonts w:eastAsiaTheme="minorEastAsia"/>
          <w:b/>
          <w:i/>
          <w:lang w:eastAsia="en-US"/>
        </w:rPr>
        <w:t xml:space="preserve"> </w:t>
      </w:r>
      <w:r w:rsidRPr="00995240">
        <w:rPr>
          <w:rFonts w:eastAsiaTheme="minorEastAsia"/>
          <w:b/>
          <w:i/>
          <w:lang w:eastAsia="en-US"/>
        </w:rPr>
        <w:t>:</w:t>
      </w:r>
      <w:r w:rsidR="004D0230" w:rsidRPr="00995240">
        <w:rPr>
          <w:rFonts w:eastAsiaTheme="minorEastAsia"/>
          <w:b/>
          <w:i/>
          <w:lang w:eastAsia="en-US"/>
        </w:rPr>
        <w:t xml:space="preserve"> les compétences de l’Agence en matière de MARL sont renforcées</w:t>
      </w:r>
    </w:p>
    <w:p w14:paraId="73570989" w14:textId="7B6979F0" w:rsidR="00EF6A89" w:rsidRPr="008F3758" w:rsidRDefault="00EF6A89" w:rsidP="008F3758">
      <w:pPr>
        <w:spacing w:after="200" w:line="276" w:lineRule="auto"/>
        <w:jc w:val="both"/>
        <w:rPr>
          <w:rFonts w:eastAsiaTheme="minorEastAsia"/>
          <w:lang w:eastAsia="en-US"/>
        </w:rPr>
      </w:pPr>
      <w:r w:rsidRPr="00995240">
        <w:rPr>
          <w:rFonts w:eastAsiaTheme="minorEastAsia"/>
          <w:lang w:eastAsia="en-US"/>
        </w:rPr>
        <w:t>Ce volet a pour objectif d’opérationnaliser les mécanismes de prévention des litiges à travers la promotion des MARL, le renforcement de l’expertise en arbitrage et l’amélioration des pratiques contractuelles des administrations partenaires et EEP. Il s’agit également de sécuriser les engagements juridiques de l’État en renforçant la capacité des cadres à rédiger des clauses sensibles conformes au droit national et aux meille</w:t>
      </w:r>
      <w:r w:rsidR="008F3758">
        <w:rPr>
          <w:rFonts w:eastAsiaTheme="minorEastAsia"/>
          <w:lang w:eastAsia="en-US"/>
        </w:rPr>
        <w:t>ures pratiques internationales</w:t>
      </w:r>
      <w:r w:rsidRPr="008F3758">
        <w:rPr>
          <w:rFonts w:eastAsiaTheme="minorEastAsia"/>
          <w:lang w:eastAsia="en-US"/>
        </w:rPr>
        <w:t>.</w:t>
      </w:r>
    </w:p>
    <w:p w14:paraId="6D15CFF7" w14:textId="77777777" w:rsidR="00EF6A89" w:rsidRPr="00995240" w:rsidRDefault="00EF6A89" w:rsidP="00114D66">
      <w:pPr>
        <w:keepNext/>
        <w:keepLines/>
        <w:spacing w:before="200" w:line="276" w:lineRule="auto"/>
        <w:outlineLvl w:val="1"/>
        <w:rPr>
          <w:rFonts w:eastAsiaTheme="majorEastAsia"/>
          <w:b/>
          <w:bCs/>
          <w:lang w:eastAsia="en-US"/>
        </w:rPr>
      </w:pPr>
      <w:bookmarkStart w:id="31" w:name="_Toc198024347"/>
      <w:bookmarkStart w:id="32" w:name="_Toc198043452"/>
      <w:bookmarkStart w:id="33" w:name="_Toc200114679"/>
      <w:r w:rsidRPr="00995240">
        <w:rPr>
          <w:rFonts w:eastAsiaTheme="majorEastAsia"/>
          <w:b/>
          <w:bCs/>
          <w:lang w:eastAsia="en-US"/>
        </w:rPr>
        <w:t xml:space="preserve">Volet </w:t>
      </w:r>
      <w:r w:rsidR="0009220D" w:rsidRPr="00995240">
        <w:rPr>
          <w:rFonts w:eastAsiaTheme="majorEastAsia"/>
          <w:b/>
          <w:bCs/>
          <w:lang w:eastAsia="en-US"/>
        </w:rPr>
        <w:t>4</w:t>
      </w:r>
      <w:r w:rsidR="00114D66" w:rsidRPr="00995240">
        <w:rPr>
          <w:rFonts w:eastAsiaTheme="majorEastAsia"/>
          <w:b/>
          <w:bCs/>
          <w:lang w:eastAsia="en-US"/>
        </w:rPr>
        <w:t xml:space="preserve"> </w:t>
      </w:r>
      <w:r w:rsidRPr="00995240">
        <w:rPr>
          <w:rFonts w:eastAsiaTheme="majorEastAsia"/>
          <w:b/>
          <w:bCs/>
          <w:lang w:eastAsia="en-US"/>
        </w:rPr>
        <w:t>: Renforcement des compétences et développement institutionnel</w:t>
      </w:r>
      <w:bookmarkEnd w:id="31"/>
      <w:bookmarkEnd w:id="32"/>
      <w:bookmarkEnd w:id="33"/>
    </w:p>
    <w:p w14:paraId="78D83907" w14:textId="77777777" w:rsidR="00EF6A89" w:rsidRDefault="00EF6A89" w:rsidP="00995240">
      <w:pPr>
        <w:keepNext/>
        <w:keepLines/>
        <w:spacing w:before="200" w:line="276" w:lineRule="auto"/>
        <w:outlineLvl w:val="1"/>
        <w:rPr>
          <w:rFonts w:eastAsiaTheme="majorEastAsia"/>
          <w:b/>
          <w:bCs/>
          <w:i/>
          <w:lang w:eastAsia="en-US"/>
        </w:rPr>
      </w:pPr>
      <w:bookmarkStart w:id="34" w:name="_Toc200114680"/>
      <w:r w:rsidRPr="009B6149">
        <w:rPr>
          <w:rFonts w:eastAsiaTheme="minorEastAsia"/>
          <w:b/>
          <w:i/>
          <w:lang w:eastAsia="en-US"/>
        </w:rPr>
        <w:t xml:space="preserve">Résultat attendu </w:t>
      </w:r>
      <w:r w:rsidR="002608F9" w:rsidRPr="009B6149">
        <w:rPr>
          <w:rFonts w:eastAsiaTheme="minorEastAsia"/>
          <w:b/>
          <w:i/>
          <w:lang w:eastAsia="en-US"/>
        </w:rPr>
        <w:t>n°4</w:t>
      </w:r>
      <w:r w:rsidR="009B6149">
        <w:rPr>
          <w:rFonts w:eastAsiaTheme="minorEastAsia"/>
          <w:b/>
          <w:i/>
          <w:lang w:eastAsia="en-US"/>
        </w:rPr>
        <w:t xml:space="preserve"> </w:t>
      </w:r>
      <w:r w:rsidRPr="009B6149">
        <w:rPr>
          <w:rFonts w:eastAsiaTheme="minorEastAsia"/>
          <w:b/>
          <w:i/>
          <w:lang w:eastAsia="en-US"/>
        </w:rPr>
        <w:t>:</w:t>
      </w:r>
      <w:r w:rsidR="004D0230" w:rsidRPr="009B6149">
        <w:rPr>
          <w:rFonts w:eastAsiaTheme="minorEastAsia"/>
          <w:b/>
          <w:i/>
          <w:lang w:eastAsia="en-US"/>
        </w:rPr>
        <w:t xml:space="preserve"> les compétences des ressources humaines de l’AJR sont renforcées</w:t>
      </w:r>
      <w:r w:rsidR="0009220D">
        <w:rPr>
          <w:rFonts w:eastAsiaTheme="majorEastAsia"/>
          <w:b/>
          <w:bCs/>
          <w:i/>
          <w:lang w:eastAsia="en-US"/>
        </w:rPr>
        <w:t>.</w:t>
      </w:r>
      <w:bookmarkEnd w:id="34"/>
    </w:p>
    <w:bookmarkStart w:id="35" w:name="_Toc200114681"/>
    <w:p w14:paraId="1A10BCF4" w14:textId="77777777" w:rsidR="009B6149" w:rsidRDefault="009B6149" w:rsidP="00995240">
      <w:pPr>
        <w:keepNext/>
        <w:keepLines/>
        <w:spacing w:before="200" w:line="276" w:lineRule="auto"/>
        <w:outlineLvl w:val="1"/>
        <w:rPr>
          <w:rFonts w:eastAsiaTheme="majorEastAsia"/>
          <w:b/>
          <w:bCs/>
          <w:i/>
          <w:lang w:eastAsia="en-US"/>
        </w:rPr>
      </w:pPr>
      <w:r>
        <w:rPr>
          <w:rFonts w:eastAsiaTheme="majorEastAsia"/>
          <w:b/>
          <w:bCs/>
          <w:i/>
          <w:noProof/>
          <w:lang w:val="en-GB" w:eastAsia="en-GB"/>
        </w:rPr>
        <mc:AlternateContent>
          <mc:Choice Requires="wps">
            <w:drawing>
              <wp:anchor distT="0" distB="0" distL="114300" distR="114300" simplePos="0" relativeHeight="251659264" behindDoc="0" locked="0" layoutInCell="1" allowOverlap="1" wp14:anchorId="4090CE08" wp14:editId="0E3CCE4B">
                <wp:simplePos x="0" y="0"/>
                <wp:positionH relativeFrom="column">
                  <wp:posOffset>26670</wp:posOffset>
                </wp:positionH>
                <wp:positionV relativeFrom="paragraph">
                  <wp:posOffset>84455</wp:posOffset>
                </wp:positionV>
                <wp:extent cx="5588000" cy="25400"/>
                <wp:effectExtent l="38100" t="38100" r="50800" b="88900"/>
                <wp:wrapNone/>
                <wp:docPr id="2" name="Connecteur droit 2"/>
                <wp:cNvGraphicFramePr/>
                <a:graphic xmlns:a="http://schemas.openxmlformats.org/drawingml/2006/main">
                  <a:graphicData uri="http://schemas.microsoft.com/office/word/2010/wordprocessingShape">
                    <wps:wsp>
                      <wps:cNvCnPr/>
                      <wps:spPr>
                        <a:xfrm flipV="1">
                          <a:off x="0" y="0"/>
                          <a:ext cx="5588000" cy="2540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CB2E1D1" id="Connecteur droit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6.65pt" to="442.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" strokecolor="#4f81bd [3204]" strokeweight=".25pt">
                <v:shadow on="t" color="black" opacity="24903f" origin=",.5" offset="0,.55556mm"/>
              </v:line>
            </w:pict>
          </mc:Fallback>
        </mc:AlternateContent>
      </w:r>
      <w:bookmarkEnd w:id="35"/>
    </w:p>
    <w:p w14:paraId="0F2D966A" w14:textId="77777777" w:rsidR="00EF6A89" w:rsidRPr="00995240" w:rsidRDefault="00EF6A89" w:rsidP="00956058">
      <w:pPr>
        <w:spacing w:after="200" w:line="276" w:lineRule="auto"/>
        <w:jc w:val="both"/>
        <w:rPr>
          <w:rFonts w:eastAsiaTheme="minorEastAsia"/>
          <w:lang w:eastAsia="en-US"/>
        </w:rPr>
      </w:pPr>
      <w:r w:rsidRPr="00995240">
        <w:rPr>
          <w:rFonts w:eastAsiaTheme="minorEastAsia"/>
          <w:lang w:eastAsia="en-US"/>
        </w:rPr>
        <w:t>Ce volet répond à la nécessité de consolider les compétences techniques et stratégiques des ressources humaines de l’AJR afin d’accompagner les réformes structurelles engagées. Il inclut des missions de formation, de benchmarking et de transfert d’expertise en vue de favoriser une administration performante, proactive et alignée sur les standards internationaux.</w:t>
      </w:r>
    </w:p>
    <w:p w14:paraId="0E4A6795" w14:textId="2454FB10" w:rsidR="00EF6A89" w:rsidRPr="00995240" w:rsidRDefault="00EF6A89" w:rsidP="00B624D0">
      <w:pPr>
        <w:keepNext/>
        <w:keepLines/>
        <w:spacing w:before="200" w:line="276" w:lineRule="auto"/>
        <w:outlineLvl w:val="1"/>
        <w:rPr>
          <w:rFonts w:eastAsiaTheme="minorEastAsia"/>
          <w:b/>
          <w:lang w:eastAsia="en-US"/>
        </w:rPr>
      </w:pPr>
      <w:bookmarkStart w:id="36" w:name="_Toc198024348"/>
      <w:bookmarkStart w:id="37" w:name="_Toc198043453"/>
      <w:bookmarkStart w:id="38" w:name="_Toc200114682"/>
      <w:r w:rsidRPr="00995240">
        <w:rPr>
          <w:rFonts w:eastAsiaTheme="minorEastAsia"/>
          <w:b/>
          <w:lang w:eastAsia="en-US"/>
        </w:rPr>
        <w:t xml:space="preserve">Volet </w:t>
      </w:r>
      <w:r w:rsidR="00114D66" w:rsidRPr="00995240">
        <w:rPr>
          <w:rFonts w:eastAsiaTheme="minorEastAsia"/>
          <w:b/>
          <w:lang w:eastAsia="en-US"/>
        </w:rPr>
        <w:t xml:space="preserve">5 </w:t>
      </w:r>
      <w:r w:rsidRPr="00995240">
        <w:rPr>
          <w:rFonts w:eastAsiaTheme="minorEastAsia"/>
          <w:b/>
          <w:lang w:eastAsia="en-US"/>
        </w:rPr>
        <w:t xml:space="preserve">: </w:t>
      </w:r>
      <w:r w:rsidR="00B624D0" w:rsidRPr="00995240">
        <w:rPr>
          <w:rFonts w:eastAsiaTheme="minorEastAsia"/>
          <w:b/>
          <w:lang w:eastAsia="en-US"/>
        </w:rPr>
        <w:t>C</w:t>
      </w:r>
      <w:r w:rsidRPr="00995240">
        <w:rPr>
          <w:rFonts w:eastAsiaTheme="minorEastAsia"/>
          <w:b/>
          <w:lang w:eastAsia="en-US"/>
        </w:rPr>
        <w:t>ommunication institutionnelle et relation citoyenne</w:t>
      </w:r>
      <w:bookmarkEnd w:id="36"/>
      <w:bookmarkEnd w:id="37"/>
      <w:bookmarkEnd w:id="38"/>
    </w:p>
    <w:p w14:paraId="57748A48" w14:textId="77777777" w:rsidR="00EF6A89" w:rsidRPr="00995240" w:rsidRDefault="00EF6A89" w:rsidP="00995240">
      <w:pPr>
        <w:pBdr>
          <w:bottom w:val="single" w:sz="4" w:space="4" w:color="4F81BD" w:themeColor="accent1"/>
        </w:pBdr>
        <w:spacing w:before="200" w:after="280" w:line="276" w:lineRule="auto"/>
        <w:ind w:right="936"/>
        <w:jc w:val="both"/>
        <w:rPr>
          <w:rFonts w:eastAsiaTheme="minorEastAsia"/>
          <w:b/>
          <w:i/>
          <w:lang w:eastAsia="en-US"/>
        </w:rPr>
      </w:pPr>
      <w:r w:rsidRPr="00995240">
        <w:rPr>
          <w:rFonts w:eastAsiaTheme="minorEastAsia"/>
          <w:b/>
          <w:i/>
          <w:lang w:eastAsia="en-US"/>
        </w:rPr>
        <w:t xml:space="preserve">Résultat attendu </w:t>
      </w:r>
      <w:r w:rsidR="002608F9" w:rsidRPr="00995240">
        <w:rPr>
          <w:rFonts w:eastAsiaTheme="minorEastAsia"/>
          <w:b/>
          <w:i/>
          <w:lang w:eastAsia="en-US"/>
        </w:rPr>
        <w:t>n°5</w:t>
      </w:r>
      <w:r w:rsidR="009B6149">
        <w:rPr>
          <w:rFonts w:eastAsiaTheme="minorEastAsia"/>
          <w:b/>
          <w:i/>
          <w:lang w:eastAsia="en-US"/>
        </w:rPr>
        <w:t xml:space="preserve"> </w:t>
      </w:r>
      <w:r w:rsidRPr="00995240">
        <w:rPr>
          <w:rFonts w:eastAsiaTheme="minorEastAsia"/>
          <w:b/>
          <w:i/>
          <w:lang w:eastAsia="en-US"/>
        </w:rPr>
        <w:t>:</w:t>
      </w:r>
      <w:r w:rsidR="004D0230" w:rsidRPr="00995240">
        <w:rPr>
          <w:rFonts w:eastAsiaTheme="minorEastAsia"/>
          <w:b/>
          <w:i/>
          <w:lang w:eastAsia="en-US"/>
        </w:rPr>
        <w:t xml:space="preserve"> la communication institutionnelle de l’Agence est améliorée</w:t>
      </w:r>
    </w:p>
    <w:p w14:paraId="1A8D6C62" w14:textId="0318F6C2" w:rsidR="00B04EF7" w:rsidRPr="008F3758" w:rsidRDefault="00EF6A89" w:rsidP="008F3758">
      <w:pPr>
        <w:spacing w:after="200" w:line="276" w:lineRule="auto"/>
        <w:jc w:val="both"/>
        <w:rPr>
          <w:rFonts w:eastAsiaTheme="minorEastAsia"/>
          <w:lang w:eastAsia="en-US"/>
        </w:rPr>
      </w:pPr>
      <w:r w:rsidRPr="00995240">
        <w:rPr>
          <w:rFonts w:eastAsiaTheme="minorEastAsia"/>
          <w:lang w:eastAsia="en-US"/>
        </w:rPr>
        <w:t>Ce volet a pour finalité d’améliorer l’information et la participation des citoyens à travers une plateforme numérique interactive. Il s’inscrit dans une dynamique de transparence, de modernisation e</w:t>
      </w:r>
      <w:r w:rsidR="008F3758">
        <w:rPr>
          <w:rFonts w:eastAsiaTheme="minorEastAsia"/>
          <w:lang w:eastAsia="en-US"/>
        </w:rPr>
        <w:t>t de service public de qualité.</w:t>
      </w:r>
    </w:p>
    <w:p w14:paraId="636798A2" w14:textId="77777777" w:rsidR="00251244" w:rsidRPr="00995240" w:rsidRDefault="00251244" w:rsidP="00251244">
      <w:pPr>
        <w:pStyle w:val="Paragrafoelenco"/>
        <w:jc w:val="both"/>
      </w:pPr>
    </w:p>
    <w:p w14:paraId="3E839E41" w14:textId="77777777" w:rsidR="00737C80" w:rsidRPr="00EA2174" w:rsidRDefault="002E7DEE">
      <w:pPr>
        <w:pStyle w:val="Titolo2"/>
        <w:numPr>
          <w:ilvl w:val="1"/>
          <w:numId w:val="1"/>
        </w:numPr>
      </w:pPr>
      <w:bookmarkStart w:id="39" w:name="_Toc200114683"/>
      <w:r w:rsidRPr="00EA2174">
        <w:t>Moyens et apports de l’administration de l’État membre de l’UE partenaire</w:t>
      </w:r>
      <w:r w:rsidR="00D11275" w:rsidRPr="00EA2174">
        <w:t>.</w:t>
      </w:r>
      <w:bookmarkEnd w:id="39"/>
    </w:p>
    <w:p w14:paraId="5A5AF55C" w14:textId="77777777" w:rsidR="00BF5091" w:rsidRPr="00995240" w:rsidRDefault="002E7DEE" w:rsidP="00995240">
      <w:pPr>
        <w:pStyle w:val="Titolo3"/>
        <w:numPr>
          <w:ilvl w:val="2"/>
          <w:numId w:val="1"/>
        </w:numPr>
        <w:spacing w:after="120"/>
        <w:ind w:left="1276" w:hanging="709"/>
        <w:rPr>
          <w:u w:val="single"/>
        </w:rPr>
      </w:pPr>
      <w:bookmarkStart w:id="40" w:name="_Toc106025895"/>
      <w:bookmarkStart w:id="41" w:name="_Toc200114684"/>
      <w:r w:rsidRPr="00995240">
        <w:rPr>
          <w:b w:val="0"/>
          <w:u w:val="single"/>
        </w:rPr>
        <w:t>Profil et tâches du Chef de Projet (CP</w:t>
      </w:r>
      <w:r w:rsidR="00F9584E" w:rsidRPr="00995240">
        <w:rPr>
          <w:b w:val="0"/>
          <w:u w:val="single"/>
        </w:rPr>
        <w:t>)</w:t>
      </w:r>
      <w:bookmarkEnd w:id="40"/>
      <w:bookmarkEnd w:id="41"/>
    </w:p>
    <w:p w14:paraId="6E83AAC7" w14:textId="77777777" w:rsidR="00BF5091" w:rsidRPr="00995240" w:rsidRDefault="00BF5091" w:rsidP="00BF5091"/>
    <w:p w14:paraId="4C3B84C3" w14:textId="77777777" w:rsidR="00BF5091" w:rsidRPr="00995240" w:rsidRDefault="00BF5091" w:rsidP="00436A10">
      <w:pPr>
        <w:jc w:val="both"/>
      </w:pPr>
      <w:r w:rsidRPr="00995240">
        <w:t xml:space="preserve">Le/la Chef(fe) de Projet (CP) de l’Etat Membre Partenaire doit être un fonctionnaire ou un agent assimilé de son Etat, ayant un grade suffisant pour assurer un dialogue politique au sein d'un organe similaire </w:t>
      </w:r>
      <w:r w:rsidR="00436A10">
        <w:t>à</w:t>
      </w:r>
      <w:r w:rsidRPr="00995240">
        <w:t xml:space="preserve"> </w:t>
      </w:r>
      <w:r w:rsidR="00AC1AD2" w:rsidRPr="00995240">
        <w:t>AJR</w:t>
      </w:r>
      <w:r w:rsidRPr="00995240">
        <w:t>.</w:t>
      </w:r>
    </w:p>
    <w:p w14:paraId="2260F90B" w14:textId="77777777" w:rsidR="00BF5091" w:rsidRPr="00995240" w:rsidRDefault="00BF5091" w:rsidP="009B6149">
      <w:pPr>
        <w:jc w:val="both"/>
      </w:pPr>
    </w:p>
    <w:p w14:paraId="7D3EEA6B" w14:textId="77777777" w:rsidR="00BF5091" w:rsidRPr="00995240" w:rsidRDefault="00BF5091" w:rsidP="009B6149">
      <w:pPr>
        <w:jc w:val="both"/>
      </w:pPr>
      <w:r w:rsidRPr="00995240">
        <w:t xml:space="preserve">Tout en continuant à assurer ses tâches quotidiennes au sein de l’administration de l’État membre, le/la CP doit consacrer une partie de son temps à la conception, à la supervision et à la coordination du projet de jumelage.  Il/elle devra de plus coordonner du côté de l’État membre, le Comité de pilotage du projet (CoPil) qui se réunira à Rabat sur une base trimestrielle. </w:t>
      </w:r>
    </w:p>
    <w:p w14:paraId="71B3F963" w14:textId="77777777" w:rsidR="00AC1AD2" w:rsidRPr="00995240" w:rsidRDefault="00AC1AD2" w:rsidP="00BF5091"/>
    <w:p w14:paraId="2073482C" w14:textId="77777777" w:rsidR="00BF5091" w:rsidRPr="00995240" w:rsidRDefault="00BF5091" w:rsidP="00BF5091">
      <w:r w:rsidRPr="00995240">
        <w:t>Mission :</w:t>
      </w:r>
    </w:p>
    <w:p w14:paraId="1FF0A4E2" w14:textId="77777777" w:rsidR="00BF5091" w:rsidRPr="00995240" w:rsidRDefault="00BF5091" w:rsidP="00BF5091">
      <w:pPr>
        <w:pStyle w:val="Paragrafoelenco"/>
        <w:numPr>
          <w:ilvl w:val="0"/>
          <w:numId w:val="35"/>
        </w:numPr>
      </w:pPr>
      <w:r w:rsidRPr="00995240">
        <w:t>Superviser la mise en œuvre du projet de jumelage dans son ensemble (activités, visites d'études, stages, comités de pilotage);</w:t>
      </w:r>
    </w:p>
    <w:p w14:paraId="6DF22D38" w14:textId="77777777" w:rsidR="00BF5091" w:rsidRPr="00995240" w:rsidRDefault="00BF5091" w:rsidP="00BF5091">
      <w:pPr>
        <w:pStyle w:val="Paragrafoelenco"/>
        <w:numPr>
          <w:ilvl w:val="0"/>
          <w:numId w:val="35"/>
        </w:numPr>
      </w:pPr>
      <w:r w:rsidRPr="00995240">
        <w:t>Superviser le CRJ et les Experts Court Terme;</w:t>
      </w:r>
    </w:p>
    <w:p w14:paraId="7EBDAEBF" w14:textId="77777777" w:rsidR="00BF5091" w:rsidRPr="00995240" w:rsidRDefault="00BF5091" w:rsidP="00BF5091">
      <w:pPr>
        <w:pStyle w:val="Paragrafoelenco"/>
        <w:numPr>
          <w:ilvl w:val="0"/>
          <w:numId w:val="35"/>
        </w:numPr>
      </w:pPr>
      <w:r w:rsidRPr="00995240">
        <w:t>Veiller à la qualité des différents livrables et rapports;</w:t>
      </w:r>
    </w:p>
    <w:p w14:paraId="4DE5BF1C" w14:textId="77777777" w:rsidR="00BF5091" w:rsidRPr="00995240" w:rsidRDefault="00BF5091" w:rsidP="00BF5091">
      <w:pPr>
        <w:pStyle w:val="Paragrafoelenco"/>
        <w:numPr>
          <w:ilvl w:val="0"/>
          <w:numId w:val="35"/>
        </w:numPr>
      </w:pPr>
      <w:r w:rsidRPr="00995240">
        <w:t>Se coordonner avec le chef de projet de l'administration bénéficiaire.</w:t>
      </w:r>
    </w:p>
    <w:p w14:paraId="01E17A67" w14:textId="77777777" w:rsidR="00BF5091" w:rsidRPr="00995240" w:rsidRDefault="00BF5091" w:rsidP="00BF5091">
      <w:pPr>
        <w:pStyle w:val="Nessunaspaziatura"/>
      </w:pPr>
    </w:p>
    <w:p w14:paraId="4221841B" w14:textId="77777777" w:rsidR="00BF5091" w:rsidRPr="00995240" w:rsidRDefault="00BF5091" w:rsidP="00BF5091">
      <w:pPr>
        <w:pStyle w:val="Nessunaspaziatura"/>
      </w:pPr>
      <w:r w:rsidRPr="00995240">
        <w:t>Profil :</w:t>
      </w:r>
    </w:p>
    <w:p w14:paraId="1717747C" w14:textId="77777777" w:rsidR="00BF5091" w:rsidRPr="00995240" w:rsidRDefault="00BF5091" w:rsidP="00BF5091">
      <w:pPr>
        <w:pStyle w:val="Paragrafoelenco"/>
        <w:numPr>
          <w:ilvl w:val="0"/>
          <w:numId w:val="36"/>
        </w:numPr>
      </w:pPr>
      <w:r w:rsidRPr="00995240">
        <w:t>Diplôme universitaire de niveau master en droit, en administration publique ou équivalent</w:t>
      </w:r>
      <w:r w:rsidR="00F9584E" w:rsidRPr="00995240">
        <w:t xml:space="preserve"> ou expérience professionnelle équivalente de 8 ans</w:t>
      </w:r>
      <w:r w:rsidRPr="00995240">
        <w:t>;</w:t>
      </w:r>
    </w:p>
    <w:p w14:paraId="79DC7D87" w14:textId="77777777" w:rsidR="00F9584E" w:rsidRPr="00F9584E" w:rsidRDefault="00F9584E" w:rsidP="00F9584E">
      <w:pPr>
        <w:numPr>
          <w:ilvl w:val="0"/>
          <w:numId w:val="36"/>
        </w:numPr>
        <w:jc w:val="both"/>
      </w:pPr>
      <w:r w:rsidRPr="00F9584E">
        <w:t>Cadre confirmé de plus de 3 ans d’expérience avec des compétences reconnues dans le domaine lié à la gestion du contentieux de l’État ;</w:t>
      </w:r>
    </w:p>
    <w:p w14:paraId="1AC8A4FF" w14:textId="434AC122" w:rsidR="00BF5091" w:rsidRPr="00995240" w:rsidRDefault="00F9584E" w:rsidP="00811F8E">
      <w:pPr>
        <w:numPr>
          <w:ilvl w:val="0"/>
          <w:numId w:val="36"/>
        </w:numPr>
        <w:jc w:val="both"/>
      </w:pPr>
      <w:r w:rsidRPr="00FF7EBF">
        <w:t>Bonne connaissance de la gestion du contentieux de l’État </w:t>
      </w:r>
    </w:p>
    <w:p w14:paraId="1E6E9558" w14:textId="77777777" w:rsidR="00F9584E" w:rsidRPr="00FF7EBF" w:rsidRDefault="00F9584E" w:rsidP="00F9584E">
      <w:pPr>
        <w:numPr>
          <w:ilvl w:val="0"/>
          <w:numId w:val="4"/>
        </w:numPr>
        <w:ind w:left="709"/>
        <w:jc w:val="both"/>
      </w:pPr>
      <w:r w:rsidRPr="00F9584E">
        <w:t>Aptitudes pour diriger une équipe et à communiquer (afin de mener un dialogue opérationnel et d’apporter les solutions requises aux problèmes et difficultés rencontrés) ;</w:t>
      </w:r>
    </w:p>
    <w:p w14:paraId="1364081E" w14:textId="77777777" w:rsidR="00F9584E" w:rsidRPr="00995240" w:rsidRDefault="00F9584E" w:rsidP="00995240">
      <w:pPr>
        <w:numPr>
          <w:ilvl w:val="0"/>
          <w:numId w:val="4"/>
        </w:numPr>
        <w:spacing w:after="240"/>
        <w:ind w:left="709" w:hanging="357"/>
        <w:jc w:val="both"/>
      </w:pPr>
      <w:r w:rsidRPr="00995240">
        <w:t>Très bonne maîtrise de la langue française écrite et parlée</w:t>
      </w:r>
      <w:r w:rsidRPr="00F9584E">
        <w:t xml:space="preserve"> </w:t>
      </w:r>
    </w:p>
    <w:p w14:paraId="7F9834BF" w14:textId="77777777" w:rsidR="00BF5091" w:rsidRPr="00995240" w:rsidRDefault="00BF5091" w:rsidP="00BF5091">
      <w:r w:rsidRPr="00995240">
        <w:t xml:space="preserve">Atouts: </w:t>
      </w:r>
    </w:p>
    <w:p w14:paraId="7E2BBBE9" w14:textId="77777777" w:rsidR="00BF5091" w:rsidRPr="00995240" w:rsidRDefault="00BF5091" w:rsidP="00BF5091">
      <w:pPr>
        <w:pStyle w:val="Paragrafoelenco"/>
        <w:numPr>
          <w:ilvl w:val="0"/>
          <w:numId w:val="37"/>
        </w:numPr>
      </w:pPr>
      <w:r w:rsidRPr="00995240">
        <w:t xml:space="preserve">Une expérience en matière de mise en œuvre des projets de coopération </w:t>
      </w:r>
    </w:p>
    <w:p w14:paraId="6ED4C696" w14:textId="77777777" w:rsidR="00BF5091" w:rsidRPr="00D32965" w:rsidRDefault="00BF5091" w:rsidP="00BF5091">
      <w:pPr>
        <w:autoSpaceDE w:val="0"/>
        <w:autoSpaceDN w:val="0"/>
        <w:adjustRightInd w:val="0"/>
        <w:spacing w:before="120"/>
        <w:rPr>
          <w:sz w:val="14"/>
          <w:szCs w:val="14"/>
        </w:rPr>
      </w:pPr>
    </w:p>
    <w:p w14:paraId="73D36CE3" w14:textId="77777777" w:rsidR="00BF5091" w:rsidRPr="00995240" w:rsidRDefault="00BF5091" w:rsidP="00995240">
      <w:pPr>
        <w:pStyle w:val="Titolo3"/>
        <w:numPr>
          <w:ilvl w:val="2"/>
          <w:numId w:val="1"/>
        </w:numPr>
        <w:spacing w:after="120"/>
        <w:ind w:left="1276" w:hanging="709"/>
        <w:rPr>
          <w:u w:val="single"/>
        </w:rPr>
      </w:pPr>
      <w:bookmarkStart w:id="42" w:name="_Toc200114685"/>
      <w:r w:rsidRPr="00995240">
        <w:rPr>
          <w:b w:val="0"/>
          <w:u w:val="single"/>
        </w:rPr>
        <w:t>Tâches et profil du Conseiller-Résident de jumelage</w:t>
      </w:r>
      <w:bookmarkEnd w:id="42"/>
    </w:p>
    <w:p w14:paraId="11053F2C" w14:textId="77777777" w:rsidR="00BF5091" w:rsidRPr="00995240" w:rsidRDefault="00BF5091" w:rsidP="00BF5091">
      <w:pPr>
        <w:pStyle w:val="Paragrafoelenco"/>
        <w:autoSpaceDE w:val="0"/>
        <w:autoSpaceDN w:val="0"/>
        <w:adjustRightInd w:val="0"/>
      </w:pPr>
    </w:p>
    <w:p w14:paraId="11553475" w14:textId="77777777" w:rsidR="00BF5091" w:rsidRPr="00995240" w:rsidRDefault="00BF5091" w:rsidP="009B6149">
      <w:pPr>
        <w:jc w:val="both"/>
      </w:pPr>
      <w:r w:rsidRPr="00995240">
        <w:t>Le/la Conseiller(e) Résident(e) de Jumelage (CRJ) devra être un fonctionnaire de conception et/ou d’encadrement supérieur. Le/la CRJ sera le pilier du projet de jumelage, basé à temps complet au Maroc pendant toute la durée du projet, soit 24 mois.</w:t>
      </w:r>
    </w:p>
    <w:p w14:paraId="0CCA2C32" w14:textId="77777777" w:rsidR="00BF5091" w:rsidRPr="00995240" w:rsidRDefault="00BF5091" w:rsidP="009B6149">
      <w:pPr>
        <w:jc w:val="both"/>
      </w:pPr>
    </w:p>
    <w:p w14:paraId="430E3CC7" w14:textId="77777777" w:rsidR="00BF5091" w:rsidRPr="00995240" w:rsidRDefault="00BF5091" w:rsidP="009B6149">
      <w:pPr>
        <w:jc w:val="both"/>
      </w:pPr>
      <w:r w:rsidRPr="00995240">
        <w:t xml:space="preserve">Mission : </w:t>
      </w:r>
    </w:p>
    <w:p w14:paraId="3894048E" w14:textId="77777777" w:rsidR="00BF5091" w:rsidRPr="00995240" w:rsidRDefault="00BF5091" w:rsidP="009B6149">
      <w:pPr>
        <w:pStyle w:val="Paragrafoelenco"/>
        <w:numPr>
          <w:ilvl w:val="0"/>
          <w:numId w:val="37"/>
        </w:numPr>
        <w:jc w:val="both"/>
      </w:pPr>
      <w:r w:rsidRPr="00995240">
        <w:t xml:space="preserve">Au plus tard 6 semaines après son arrivée dans le pays bénéficiaire, élaborer le plan de travail initial en étroite collaboration avec l’ensemble des acteurs concernés et sur la base des résultats que devrait produire le projet. </w:t>
      </w:r>
    </w:p>
    <w:p w14:paraId="217F88C4" w14:textId="77777777" w:rsidR="00BF5091" w:rsidRPr="00995240" w:rsidRDefault="00BF5091" w:rsidP="009B6149">
      <w:pPr>
        <w:pStyle w:val="Paragrafoelenco"/>
        <w:numPr>
          <w:ilvl w:val="0"/>
          <w:numId w:val="37"/>
        </w:numPr>
        <w:jc w:val="both"/>
      </w:pPr>
      <w:r w:rsidRPr="00995240">
        <w:t>Après signature du plan de travail initial par les deux chefs de projet, veiller à la mise en œuvre correcte et en temps voulu des activités conformément aux plans de travail initial et ultérieurs.</w:t>
      </w:r>
    </w:p>
    <w:p w14:paraId="34AE7E20" w14:textId="77777777" w:rsidR="00BF5091" w:rsidRPr="00995240" w:rsidRDefault="00BF5091" w:rsidP="009B6149">
      <w:pPr>
        <w:pStyle w:val="Paragrafoelenco"/>
        <w:numPr>
          <w:ilvl w:val="0"/>
          <w:numId w:val="37"/>
        </w:numPr>
        <w:jc w:val="both"/>
      </w:pPr>
      <w:r w:rsidRPr="00995240">
        <w:t>Offrir des conseils et une assistance technique aux représentants de l’administration/organisation bénéficiaire.</w:t>
      </w:r>
    </w:p>
    <w:p w14:paraId="252970F0" w14:textId="77777777" w:rsidR="00BF5091" w:rsidRPr="00995240" w:rsidRDefault="00BF5091" w:rsidP="009B6149">
      <w:pPr>
        <w:pStyle w:val="Paragrafoelenco"/>
        <w:numPr>
          <w:ilvl w:val="0"/>
          <w:numId w:val="37"/>
        </w:numPr>
        <w:jc w:val="both"/>
      </w:pPr>
      <w:r w:rsidRPr="00995240">
        <w:t xml:space="preserve">Tenir le/la CP du bénéficiaire informé de la mise en œuvre et présente des rapports réguliers au CP de l’État membre. </w:t>
      </w:r>
    </w:p>
    <w:p w14:paraId="41DE5C76" w14:textId="77777777" w:rsidR="00BF5091" w:rsidRPr="00995240" w:rsidRDefault="00BF5091" w:rsidP="009B6149">
      <w:pPr>
        <w:pStyle w:val="Paragrafoelenco"/>
        <w:numPr>
          <w:ilvl w:val="0"/>
          <w:numId w:val="37"/>
        </w:numPr>
        <w:jc w:val="both"/>
      </w:pPr>
      <w:r w:rsidRPr="00995240">
        <w:t>S’il y a lieu, contribuer activement aux tâches de surveillance du secteur menées dans le pays bénéficiaire.</w:t>
      </w:r>
    </w:p>
    <w:p w14:paraId="0A8DFA54" w14:textId="77777777" w:rsidR="00BF5091" w:rsidRPr="00995240" w:rsidRDefault="00BF5091" w:rsidP="009B6149">
      <w:pPr>
        <w:pStyle w:val="Paragrafoelenco"/>
        <w:numPr>
          <w:ilvl w:val="0"/>
          <w:numId w:val="37"/>
        </w:numPr>
        <w:jc w:val="both"/>
      </w:pPr>
      <w:r w:rsidRPr="00995240">
        <w:t>Durant la mise en œuvre du projet, mettre régulièrement à jour le plan de travail qui doit être transmis au comité de pilotage du projet sous l’autorité du CP de l’État membre.</w:t>
      </w:r>
    </w:p>
    <w:p w14:paraId="03C92BBB" w14:textId="77777777" w:rsidR="00BF5091" w:rsidRPr="00995240" w:rsidRDefault="00BF5091" w:rsidP="009B6149">
      <w:pPr>
        <w:pStyle w:val="Nessunaspaziatura"/>
        <w:jc w:val="both"/>
      </w:pPr>
    </w:p>
    <w:p w14:paraId="579F55C9" w14:textId="77777777" w:rsidR="00BF5091" w:rsidRPr="00995240" w:rsidRDefault="00BF5091" w:rsidP="009B6149">
      <w:pPr>
        <w:pStyle w:val="Nessunaspaziatura"/>
        <w:jc w:val="both"/>
      </w:pPr>
      <w:r w:rsidRPr="00995240">
        <w:t>Profil :</w:t>
      </w:r>
    </w:p>
    <w:p w14:paraId="35ED0225" w14:textId="77777777" w:rsidR="00DC67B0" w:rsidRPr="00DC67B0" w:rsidRDefault="00BF5091" w:rsidP="009B6149">
      <w:pPr>
        <w:pStyle w:val="Paragrafoelenco"/>
        <w:numPr>
          <w:ilvl w:val="0"/>
          <w:numId w:val="37"/>
        </w:numPr>
        <w:jc w:val="both"/>
      </w:pPr>
      <w:r w:rsidRPr="00995240">
        <w:t>Diplôme universitaire de niveau Master en droit, en administration publique ou équivalent</w:t>
      </w:r>
      <w:r w:rsidR="00DC67B0" w:rsidRPr="00995240">
        <w:t xml:space="preserve"> ou expérience professionnelle équivalente de 8 ans</w:t>
      </w:r>
      <w:r w:rsidRPr="00995240">
        <w:t>,</w:t>
      </w:r>
    </w:p>
    <w:p w14:paraId="6078068D" w14:textId="11D90EE4" w:rsidR="00DC67B0" w:rsidRPr="00DC67B0" w:rsidRDefault="00DC67B0" w:rsidP="009B6149">
      <w:pPr>
        <w:pStyle w:val="Paragrafoelenco"/>
        <w:numPr>
          <w:ilvl w:val="0"/>
          <w:numId w:val="37"/>
        </w:numPr>
        <w:jc w:val="both"/>
      </w:pPr>
      <w:r w:rsidRPr="00DC67B0">
        <w:t>Au moins trois ans d'expérience dans le domaine du contentieux de l’État,</w:t>
      </w:r>
    </w:p>
    <w:p w14:paraId="77A04981" w14:textId="77777777" w:rsidR="00DC67B0" w:rsidRPr="00DC67B0" w:rsidRDefault="00DC67B0" w:rsidP="009B6149">
      <w:pPr>
        <w:pStyle w:val="Paragrafoelenco"/>
        <w:numPr>
          <w:ilvl w:val="0"/>
          <w:numId w:val="37"/>
        </w:numPr>
        <w:jc w:val="both"/>
      </w:pPr>
      <w:r w:rsidRPr="00DC67B0">
        <w:t>Spécialisation ou expérience significative en gestion du contentieux de l’État</w:t>
      </w:r>
    </w:p>
    <w:p w14:paraId="5B30C47C" w14:textId="77777777" w:rsidR="00DC67B0" w:rsidRPr="00DC67B0" w:rsidRDefault="00DC67B0" w:rsidP="009B6149">
      <w:pPr>
        <w:pStyle w:val="Paragrafoelenco"/>
        <w:numPr>
          <w:ilvl w:val="0"/>
          <w:numId w:val="37"/>
        </w:numPr>
        <w:jc w:val="both"/>
      </w:pPr>
      <w:r w:rsidRPr="00DC67B0">
        <w:t>Connaissance des exigences de l’Acquis et des bonnes pratiques européennes dans le secteur de la justice,</w:t>
      </w:r>
    </w:p>
    <w:p w14:paraId="78EEB52A" w14:textId="77777777" w:rsidR="00DC67B0" w:rsidRPr="00DC67B0" w:rsidRDefault="00DC67B0" w:rsidP="009B6149">
      <w:pPr>
        <w:pStyle w:val="Paragrafoelenco"/>
        <w:numPr>
          <w:ilvl w:val="0"/>
          <w:numId w:val="37"/>
        </w:numPr>
        <w:jc w:val="both"/>
      </w:pPr>
      <w:r w:rsidRPr="00DC67B0">
        <w:t>Maîtrise de la langue française écrite et parlée (la connaissance de la langue arabe constitue un atout),</w:t>
      </w:r>
    </w:p>
    <w:p w14:paraId="78A91094" w14:textId="77777777" w:rsidR="00DC67B0" w:rsidRPr="00DC67B0" w:rsidRDefault="00DC67B0" w:rsidP="009B6149">
      <w:pPr>
        <w:pStyle w:val="Paragrafoelenco"/>
        <w:numPr>
          <w:ilvl w:val="0"/>
          <w:numId w:val="37"/>
        </w:numPr>
        <w:jc w:val="both"/>
      </w:pPr>
      <w:r w:rsidRPr="00DC67B0">
        <w:t>Expérience en matière de mise en œuvre des projets de coopération comme atout</w:t>
      </w:r>
    </w:p>
    <w:p w14:paraId="08EDF594" w14:textId="77777777" w:rsidR="00DC67B0" w:rsidRPr="00DC67B0" w:rsidRDefault="00DC67B0" w:rsidP="009B6149">
      <w:pPr>
        <w:pStyle w:val="Paragrafoelenco"/>
        <w:numPr>
          <w:ilvl w:val="0"/>
          <w:numId w:val="37"/>
        </w:numPr>
        <w:jc w:val="both"/>
      </w:pPr>
      <w:r w:rsidRPr="00DC67B0">
        <w:t>Aptitudes pour diriger une équipe et à communiquer</w:t>
      </w:r>
    </w:p>
    <w:p w14:paraId="2BF2F354" w14:textId="77777777" w:rsidR="00DC67B0" w:rsidRPr="00DC67B0" w:rsidRDefault="00DC67B0" w:rsidP="009B6149">
      <w:pPr>
        <w:pStyle w:val="Paragrafoelenco"/>
        <w:numPr>
          <w:ilvl w:val="0"/>
          <w:numId w:val="37"/>
        </w:numPr>
        <w:jc w:val="both"/>
      </w:pPr>
      <w:r w:rsidRPr="00DC67B0">
        <w:t>Expérience au Maroc est un atout</w:t>
      </w:r>
    </w:p>
    <w:p w14:paraId="226D98B6" w14:textId="77777777" w:rsidR="00DC67B0" w:rsidRPr="00995240" w:rsidRDefault="00DC67B0" w:rsidP="009B6149">
      <w:pPr>
        <w:pStyle w:val="Paragrafoelenco"/>
        <w:jc w:val="both"/>
      </w:pPr>
    </w:p>
    <w:p w14:paraId="6188449F" w14:textId="77777777" w:rsidR="00DC67B0" w:rsidRPr="00995240" w:rsidRDefault="00DC67B0" w:rsidP="009B6149">
      <w:pPr>
        <w:pStyle w:val="Paragrafoelenco"/>
        <w:jc w:val="both"/>
      </w:pPr>
    </w:p>
    <w:p w14:paraId="43BD850B" w14:textId="77777777" w:rsidR="00BF5091" w:rsidRPr="00995240" w:rsidRDefault="00BF5091" w:rsidP="009B6149">
      <w:pPr>
        <w:autoSpaceDE w:val="0"/>
        <w:autoSpaceDN w:val="0"/>
        <w:adjustRightInd w:val="0"/>
        <w:jc w:val="both"/>
      </w:pPr>
      <w:r w:rsidRPr="00995240">
        <w:t xml:space="preserve">Atouts: </w:t>
      </w:r>
    </w:p>
    <w:p w14:paraId="6A948712" w14:textId="77777777" w:rsidR="00BF5091" w:rsidRPr="00995240" w:rsidRDefault="00BF5091" w:rsidP="009B6149">
      <w:pPr>
        <w:pStyle w:val="Paragrafoelenco"/>
        <w:numPr>
          <w:ilvl w:val="0"/>
          <w:numId w:val="38"/>
        </w:numPr>
        <w:autoSpaceDE w:val="0"/>
        <w:autoSpaceDN w:val="0"/>
        <w:adjustRightInd w:val="0"/>
        <w:jc w:val="both"/>
      </w:pPr>
      <w:r w:rsidRPr="00995240">
        <w:t xml:space="preserve">Expérience en matière de mise en œuvre des projets de coopération, incluant </w:t>
      </w:r>
    </w:p>
    <w:p w14:paraId="5F0EA384" w14:textId="77777777" w:rsidR="00BF5091" w:rsidRPr="00995240" w:rsidRDefault="00BF5091" w:rsidP="009B6149">
      <w:pPr>
        <w:pStyle w:val="Paragrafoelenco"/>
        <w:numPr>
          <w:ilvl w:val="1"/>
          <w:numId w:val="38"/>
        </w:numPr>
        <w:autoSpaceDE w:val="0"/>
        <w:autoSpaceDN w:val="0"/>
        <w:adjustRightInd w:val="0"/>
        <w:jc w:val="both"/>
      </w:pPr>
      <w:r w:rsidRPr="00995240">
        <w:t xml:space="preserve">animation d’équipes d’experts, </w:t>
      </w:r>
    </w:p>
    <w:p w14:paraId="4FA3E0F5" w14:textId="77777777" w:rsidR="00BF5091" w:rsidRPr="00995240" w:rsidRDefault="00BF5091" w:rsidP="009B6149">
      <w:pPr>
        <w:pStyle w:val="Paragrafoelenco"/>
        <w:numPr>
          <w:ilvl w:val="1"/>
          <w:numId w:val="38"/>
        </w:numPr>
        <w:autoSpaceDE w:val="0"/>
        <w:autoSpaceDN w:val="0"/>
        <w:adjustRightInd w:val="0"/>
        <w:jc w:val="both"/>
      </w:pPr>
      <w:r w:rsidRPr="00995240">
        <w:t xml:space="preserve">pilotage et coordination d’activités, </w:t>
      </w:r>
    </w:p>
    <w:p w14:paraId="5CFA0752" w14:textId="77777777" w:rsidR="00BF5091" w:rsidRPr="00995240" w:rsidRDefault="00BF5091" w:rsidP="009B6149">
      <w:pPr>
        <w:pStyle w:val="Paragrafoelenco"/>
        <w:numPr>
          <w:ilvl w:val="1"/>
          <w:numId w:val="38"/>
        </w:numPr>
        <w:autoSpaceDE w:val="0"/>
        <w:autoSpaceDN w:val="0"/>
        <w:adjustRightInd w:val="0"/>
        <w:jc w:val="both"/>
      </w:pPr>
      <w:r w:rsidRPr="00995240">
        <w:t xml:space="preserve">montage de termes de référence, </w:t>
      </w:r>
    </w:p>
    <w:p w14:paraId="7EF7B957" w14:textId="77777777" w:rsidR="00BF5091" w:rsidRPr="00995240" w:rsidRDefault="00BF5091" w:rsidP="009B6149">
      <w:pPr>
        <w:pStyle w:val="Paragrafoelenco"/>
        <w:numPr>
          <w:ilvl w:val="1"/>
          <w:numId w:val="38"/>
        </w:numPr>
        <w:autoSpaceDE w:val="0"/>
        <w:autoSpaceDN w:val="0"/>
        <w:adjustRightInd w:val="0"/>
        <w:jc w:val="both"/>
      </w:pPr>
      <w:r w:rsidRPr="00995240">
        <w:t xml:space="preserve">préparation et suivi d’expertises court terme, </w:t>
      </w:r>
    </w:p>
    <w:p w14:paraId="008E35AC" w14:textId="77777777" w:rsidR="00BF5091" w:rsidRPr="00995240" w:rsidRDefault="00BF5091" w:rsidP="009B6149">
      <w:pPr>
        <w:pStyle w:val="Paragrafoelenco"/>
        <w:numPr>
          <w:ilvl w:val="1"/>
          <w:numId w:val="38"/>
        </w:numPr>
        <w:autoSpaceDE w:val="0"/>
        <w:autoSpaceDN w:val="0"/>
        <w:adjustRightInd w:val="0"/>
        <w:jc w:val="both"/>
      </w:pPr>
      <w:r w:rsidRPr="00995240">
        <w:t xml:space="preserve">approbation de rapports d’experts, </w:t>
      </w:r>
    </w:p>
    <w:p w14:paraId="6AADACB9" w14:textId="77777777" w:rsidR="00BF5091" w:rsidRPr="00995240" w:rsidRDefault="00BF5091" w:rsidP="009B6149">
      <w:pPr>
        <w:pStyle w:val="Paragrafoelenco"/>
        <w:numPr>
          <w:ilvl w:val="1"/>
          <w:numId w:val="38"/>
        </w:numPr>
        <w:autoSpaceDE w:val="0"/>
        <w:autoSpaceDN w:val="0"/>
        <w:adjustRightInd w:val="0"/>
        <w:jc w:val="both"/>
      </w:pPr>
      <w:r w:rsidRPr="00995240">
        <w:t xml:space="preserve">organisation et réalisation d’ateliers, </w:t>
      </w:r>
    </w:p>
    <w:p w14:paraId="23C8199D" w14:textId="77777777" w:rsidR="00BF5091" w:rsidRDefault="00BF5091" w:rsidP="009B6149">
      <w:pPr>
        <w:pStyle w:val="Paragrafoelenco"/>
        <w:numPr>
          <w:ilvl w:val="1"/>
          <w:numId w:val="38"/>
        </w:numPr>
        <w:autoSpaceDE w:val="0"/>
        <w:autoSpaceDN w:val="0"/>
        <w:adjustRightInd w:val="0"/>
        <w:jc w:val="both"/>
      </w:pPr>
      <w:r w:rsidRPr="00995240">
        <w:t>organisation de sessions de formation.</w:t>
      </w:r>
    </w:p>
    <w:p w14:paraId="372AEEFE" w14:textId="77777777" w:rsidR="00E24C49" w:rsidRDefault="00E24C49" w:rsidP="00E24C49">
      <w:pPr>
        <w:autoSpaceDE w:val="0"/>
        <w:autoSpaceDN w:val="0"/>
        <w:adjustRightInd w:val="0"/>
        <w:jc w:val="both"/>
      </w:pPr>
    </w:p>
    <w:p w14:paraId="0217796F" w14:textId="56AE82D0" w:rsidR="00E24C49" w:rsidRPr="00995240" w:rsidRDefault="00E24C49" w:rsidP="00E24C49">
      <w:pPr>
        <w:autoSpaceDE w:val="0"/>
        <w:autoSpaceDN w:val="0"/>
        <w:adjustRightInd w:val="0"/>
        <w:jc w:val="both"/>
      </w:pPr>
      <w:r>
        <w:t xml:space="preserve">Le CRJ est soutenu par un assistant de projet à temps plein réalisant des tâches générales liées au projet et fournissant des services de traduction et d’interprétation lorsque cela est nécessaire. Jusqu’à ce que le CRJ puisse choisir et engager un assistant, il est possible que l’administration bénéficiaire (AJR) puisse mettre à sa disposition un membre de son personnel afin de le soutenir provisoirement dans ses tâches quotidiennes. </w:t>
      </w:r>
    </w:p>
    <w:p w14:paraId="4E8B6A42" w14:textId="77777777" w:rsidR="00BF5091" w:rsidRPr="00995240" w:rsidRDefault="00BF5091" w:rsidP="00BF5091">
      <w:pPr>
        <w:pStyle w:val="Paragrafoelenco"/>
        <w:autoSpaceDE w:val="0"/>
        <w:autoSpaceDN w:val="0"/>
        <w:adjustRightInd w:val="0"/>
      </w:pPr>
    </w:p>
    <w:p w14:paraId="55785817" w14:textId="77777777" w:rsidR="00BF5091" w:rsidRPr="00995240" w:rsidRDefault="00BF5091" w:rsidP="00BF5091">
      <w:pPr>
        <w:pStyle w:val="Paragrafoelenco"/>
        <w:numPr>
          <w:ilvl w:val="2"/>
          <w:numId w:val="34"/>
        </w:numPr>
        <w:autoSpaceDE w:val="0"/>
        <w:autoSpaceDN w:val="0"/>
        <w:adjustRightInd w:val="0"/>
      </w:pPr>
      <w:r w:rsidRPr="00995240">
        <w:t>Tâches et profil des experts à court terme</w:t>
      </w:r>
    </w:p>
    <w:p w14:paraId="04D85CB3" w14:textId="77777777" w:rsidR="00BF5091" w:rsidRPr="00995240" w:rsidRDefault="00BF5091" w:rsidP="00BF5091">
      <w:pPr>
        <w:autoSpaceDE w:val="0"/>
        <w:autoSpaceDN w:val="0"/>
        <w:adjustRightInd w:val="0"/>
      </w:pPr>
    </w:p>
    <w:p w14:paraId="7B68F98B" w14:textId="77777777" w:rsidR="00BF5091" w:rsidRPr="00995240" w:rsidRDefault="00BF5091" w:rsidP="00BF5091">
      <w:r w:rsidRPr="00995240">
        <w:t>L'équipe d'experts court terme (fonctionnaires ou personnel interne d´un organisme mandaté) doit être en mesure de fournir des conseils de spécialistes et de réaliser les activités prévues.</w:t>
      </w:r>
    </w:p>
    <w:p w14:paraId="053A4462" w14:textId="77777777" w:rsidR="00BF5091" w:rsidRPr="00995240" w:rsidRDefault="00BF5091" w:rsidP="00BF5091">
      <w:r w:rsidRPr="00995240">
        <w:t>Profil-Type :</w:t>
      </w:r>
    </w:p>
    <w:p w14:paraId="275E12E2" w14:textId="77777777" w:rsidR="00BF5091" w:rsidRPr="00995240" w:rsidRDefault="00BF5091" w:rsidP="00BF5091">
      <w:pPr>
        <w:pStyle w:val="Paragrafoelenco"/>
        <w:numPr>
          <w:ilvl w:val="0"/>
          <w:numId w:val="38"/>
        </w:numPr>
        <w:jc w:val="both"/>
      </w:pPr>
      <w:r w:rsidRPr="00995240">
        <w:t>Diplôme universitaire de niveau Master dans le domaine judiciaire, de l'économie, de la gestion ou en rapport avec mission court-terme;</w:t>
      </w:r>
    </w:p>
    <w:p w14:paraId="5F07332E" w14:textId="77777777" w:rsidR="00BF5091" w:rsidRPr="00995240" w:rsidRDefault="00BF5091" w:rsidP="00BF5091">
      <w:pPr>
        <w:pStyle w:val="Paragrafoelenco"/>
        <w:numPr>
          <w:ilvl w:val="0"/>
          <w:numId w:val="38"/>
        </w:numPr>
        <w:jc w:val="both"/>
      </w:pPr>
      <w:r w:rsidRPr="00995240">
        <w:t>Au moins 5 ans d'expérience professionnelle dans le domaine concerné par la mission court-terme;</w:t>
      </w:r>
    </w:p>
    <w:p w14:paraId="324345B3" w14:textId="431FFE54" w:rsidR="00BF5091" w:rsidRPr="00995240" w:rsidRDefault="00BF5091" w:rsidP="009255E4">
      <w:pPr>
        <w:pStyle w:val="Paragrafoelenco"/>
        <w:numPr>
          <w:ilvl w:val="0"/>
          <w:numId w:val="38"/>
        </w:numPr>
        <w:jc w:val="both"/>
      </w:pPr>
      <w:r w:rsidRPr="00995240">
        <w:t>Connaissance des exigences de l’Acquis et des bonnes pratiques européennes dans le secteur concerné par la mission (ou expérience avérée en relation avec la mission court-terme);</w:t>
      </w:r>
    </w:p>
    <w:p w14:paraId="59D5C3A2" w14:textId="77777777" w:rsidR="00BF5091" w:rsidRPr="00995240" w:rsidRDefault="00BF5091" w:rsidP="00BF5091">
      <w:pPr>
        <w:pStyle w:val="Paragrafoelenco"/>
        <w:numPr>
          <w:ilvl w:val="0"/>
          <w:numId w:val="38"/>
        </w:numPr>
        <w:jc w:val="both"/>
      </w:pPr>
      <w:r w:rsidRPr="00995240">
        <w:t>Bonne maîtrise du français.</w:t>
      </w:r>
    </w:p>
    <w:p w14:paraId="78BF155C" w14:textId="77777777" w:rsidR="00BF5091" w:rsidRPr="00995240" w:rsidRDefault="00BF5091" w:rsidP="00BF5091">
      <w:pPr>
        <w:jc w:val="both"/>
      </w:pPr>
    </w:p>
    <w:p w14:paraId="55A35FC2" w14:textId="77777777" w:rsidR="00737C80" w:rsidRPr="00EA2174" w:rsidRDefault="00BF5091">
      <w:pPr>
        <w:spacing w:after="120"/>
        <w:jc w:val="both"/>
        <w:rPr>
          <w:u w:val="single"/>
        </w:rPr>
      </w:pPr>
      <w:r w:rsidRPr="00995240">
        <w:t>Il est à noter qu’un budget spécifique est prévu pour la traduction et l'interprétariat, au cas où l'EM retenu ne disposerait pas d'experts francophones pour la mise en œuvre de certaines activités.</w:t>
      </w:r>
    </w:p>
    <w:p w14:paraId="779D80B2" w14:textId="77777777" w:rsidR="002A42B7" w:rsidRPr="00EA2174" w:rsidRDefault="002A42B7" w:rsidP="002B1313">
      <w:pPr>
        <w:jc w:val="both"/>
        <w:rPr>
          <w:i/>
          <w:color w:val="000000"/>
          <w:sz w:val="2"/>
        </w:rPr>
      </w:pPr>
    </w:p>
    <w:p w14:paraId="705F2A17" w14:textId="77777777" w:rsidR="002A42B7" w:rsidRPr="00EA2174" w:rsidRDefault="002A42B7" w:rsidP="002A42B7">
      <w:pPr>
        <w:jc w:val="both"/>
        <w:rPr>
          <w:i/>
          <w:color w:val="000000"/>
          <w:sz w:val="18"/>
        </w:rPr>
      </w:pPr>
    </w:p>
    <w:p w14:paraId="0DDEB742" w14:textId="77777777" w:rsidR="00737C80" w:rsidRPr="00EA2174" w:rsidRDefault="002E7DEE" w:rsidP="002A42B7">
      <w:pPr>
        <w:jc w:val="both"/>
        <w:rPr>
          <w:i/>
          <w:color w:val="000000"/>
        </w:rPr>
      </w:pPr>
      <w:r w:rsidRPr="00EA2174">
        <w:t>Les profils seront à préciser in fine et au cas par cas, dans la proposition de l’EM ou en fonction de Termes de Référence spécifiques qui seront établis au fur et à mesure du projet, en coordination étroite avec le bénéficiaire.</w:t>
      </w:r>
    </w:p>
    <w:p w14:paraId="34291F0B" w14:textId="77777777" w:rsidR="00737C80" w:rsidRPr="00EA2174" w:rsidRDefault="002E7DEE" w:rsidP="002E7DEE">
      <w:pPr>
        <w:pStyle w:val="Titolo1"/>
        <w:numPr>
          <w:ilvl w:val="0"/>
          <w:numId w:val="1"/>
        </w:numPr>
        <w:pBdr>
          <w:bottom w:val="single" w:sz="4" w:space="1" w:color="auto"/>
        </w:pBdr>
      </w:pPr>
      <w:bookmarkStart w:id="43" w:name="_Toc200114686"/>
      <w:r w:rsidRPr="00EA2174">
        <w:t>Budget</w:t>
      </w:r>
      <w:bookmarkEnd w:id="43"/>
      <w:r w:rsidRPr="00EA2174">
        <w:t xml:space="preserve">  </w:t>
      </w:r>
    </w:p>
    <w:p w14:paraId="2898A816" w14:textId="57C9945C" w:rsidR="00737C80" w:rsidRPr="00EA2174" w:rsidRDefault="002E7DEE" w:rsidP="001B3D4F">
      <w:pPr>
        <w:tabs>
          <w:tab w:val="left" w:pos="540"/>
        </w:tabs>
        <w:spacing w:before="120"/>
        <w:ind w:left="539" w:hanging="539"/>
        <w:jc w:val="both"/>
      </w:pPr>
      <w:r w:rsidRPr="00EA2174">
        <w:t>Le budget total maximum disponible pour la subvention e</w:t>
      </w:r>
      <w:r w:rsidRPr="00995240">
        <w:t>st</w:t>
      </w:r>
      <w:r w:rsidR="00162D67">
        <w:t xml:space="preserve"> 1</w:t>
      </w:r>
      <w:r w:rsidRPr="00995240">
        <w:t xml:space="preserve"> </w:t>
      </w:r>
      <w:r w:rsidR="00162D67">
        <w:t>0</w:t>
      </w:r>
      <w:r w:rsidR="001B3D4F" w:rsidRPr="00995240">
        <w:t>00 000</w:t>
      </w:r>
      <w:r w:rsidR="001E17A8" w:rsidRPr="00995240">
        <w:t xml:space="preserve"> </w:t>
      </w:r>
      <w:r w:rsidRPr="00995240">
        <w:t>Euros</w:t>
      </w:r>
      <w:r w:rsidR="001B3D4F" w:rsidRPr="00995240">
        <w:t>.</w:t>
      </w:r>
    </w:p>
    <w:p w14:paraId="03752B96" w14:textId="77777777" w:rsidR="00737C80" w:rsidRPr="00EA2174" w:rsidRDefault="002E7DEE" w:rsidP="002E7DEE">
      <w:pPr>
        <w:pStyle w:val="Titolo1"/>
        <w:numPr>
          <w:ilvl w:val="0"/>
          <w:numId w:val="1"/>
        </w:numPr>
        <w:pBdr>
          <w:bottom w:val="single" w:sz="4" w:space="1" w:color="auto"/>
        </w:pBdr>
      </w:pPr>
      <w:bookmarkStart w:id="44" w:name="_Toc200114687"/>
      <w:r w:rsidRPr="00EA2174">
        <w:t>Modalités de mise en œuvre</w:t>
      </w:r>
      <w:bookmarkEnd w:id="44"/>
    </w:p>
    <w:p w14:paraId="4115D9EE" w14:textId="77777777" w:rsidR="00737C80" w:rsidRPr="00EA2174" w:rsidRDefault="002E7DEE">
      <w:pPr>
        <w:pStyle w:val="Titolo2"/>
        <w:numPr>
          <w:ilvl w:val="1"/>
          <w:numId w:val="1"/>
        </w:numPr>
        <w:jc w:val="both"/>
      </w:pPr>
      <w:bookmarkStart w:id="45" w:name="_Toc200114688"/>
      <w:r w:rsidRPr="00EA2174">
        <w:t>Organisme de mise en œuvre</w:t>
      </w:r>
      <w:bookmarkEnd w:id="45"/>
    </w:p>
    <w:p w14:paraId="7E566164" w14:textId="77777777" w:rsidR="00401E11" w:rsidRPr="00EA2174" w:rsidRDefault="002E7DEE" w:rsidP="001C3B18">
      <w:pPr>
        <w:jc w:val="both"/>
      </w:pPr>
      <w:r w:rsidRPr="00EA2174">
        <w:t>Ce jumelage s’inscrit dans le cadre du Programme «</w:t>
      </w:r>
      <w:r w:rsidR="002A42B7" w:rsidRPr="00EA2174">
        <w:t xml:space="preserve"> </w:t>
      </w:r>
      <w:r w:rsidR="001C3B18" w:rsidRPr="00EA2174">
        <w:t>Facilité de Coopération Technique</w:t>
      </w:r>
      <w:r w:rsidR="002A42B7" w:rsidRPr="00EA2174">
        <w:t xml:space="preserve"> </w:t>
      </w:r>
      <w:r w:rsidRPr="00EA2174">
        <w:t xml:space="preserve">», financé par l’Union européenne et géré par le Ministère de l’Economie et des Finances. Le Ministère de l’Economie et des Finances marocain est le coordonnateur national en tant que signataire de la </w:t>
      </w:r>
      <w:r w:rsidR="00570BA4" w:rsidRPr="00EA2174">
        <w:t>facilité</w:t>
      </w:r>
      <w:r w:rsidRPr="00EA2174">
        <w:t xml:space="preserve">. </w:t>
      </w:r>
    </w:p>
    <w:p w14:paraId="52E322AD" w14:textId="77777777" w:rsidR="00737C80" w:rsidRPr="00EA2174" w:rsidRDefault="002E7DEE" w:rsidP="001C3B18">
      <w:pPr>
        <w:jc w:val="both"/>
      </w:pPr>
      <w:r w:rsidRPr="00EA2174">
        <w:t xml:space="preserve">La préparation, le suivi de la mise en œuvre des jumelages sont confiés </w:t>
      </w:r>
      <w:r w:rsidR="00436A10">
        <w:t xml:space="preserve">au </w:t>
      </w:r>
      <w:r w:rsidR="001C3B18" w:rsidRPr="00EA2174">
        <w:t>service de la gestion des instruments de la coopération technique de l’UE</w:t>
      </w:r>
      <w:r w:rsidRPr="00EA2174">
        <w:t xml:space="preserve"> de la Direction du Trésor et des Finances Extérieures du Ministère de l’Economie et des Finances.</w:t>
      </w:r>
    </w:p>
    <w:p w14:paraId="6EB62FAB" w14:textId="77777777" w:rsidR="00737C80" w:rsidRPr="00EA2174" w:rsidRDefault="002E7DEE">
      <w:pPr>
        <w:spacing w:before="120" w:after="120"/>
        <w:jc w:val="both"/>
        <w:rPr>
          <w:b/>
          <w:u w:val="single"/>
        </w:rPr>
      </w:pPr>
      <w:r w:rsidRPr="00EA2174">
        <w:rPr>
          <w:b/>
          <w:u w:val="single"/>
        </w:rPr>
        <w:t>Contact</w:t>
      </w:r>
      <w:r w:rsidR="00C1043B" w:rsidRPr="00EA2174">
        <w:rPr>
          <w:b/>
          <w:u w:val="single"/>
        </w:rPr>
        <w:t xml:space="preserve"> </w:t>
      </w:r>
      <w:r w:rsidRPr="00EA2174">
        <w:rPr>
          <w:b/>
          <w:u w:val="single"/>
        </w:rPr>
        <w:t>:</w:t>
      </w:r>
    </w:p>
    <w:p w14:paraId="5E4FB7BE" w14:textId="77777777" w:rsidR="00737C80" w:rsidRPr="00EA2174" w:rsidRDefault="002E7DEE">
      <w:pPr>
        <w:spacing w:line="276" w:lineRule="auto"/>
        <w:jc w:val="both"/>
        <w:rPr>
          <w:i/>
        </w:rPr>
      </w:pPr>
      <w:r w:rsidRPr="00EA2174">
        <w:rPr>
          <w:i/>
        </w:rPr>
        <w:t xml:space="preserve">M. Oussama CHELLAF </w:t>
      </w:r>
    </w:p>
    <w:p w14:paraId="3348E158" w14:textId="77777777" w:rsidR="00737C80" w:rsidRPr="00EA2174" w:rsidRDefault="002E7DEE">
      <w:pPr>
        <w:spacing w:line="276" w:lineRule="auto"/>
        <w:jc w:val="both"/>
        <w:rPr>
          <w:i/>
        </w:rPr>
      </w:pPr>
      <w:r w:rsidRPr="00EA2174">
        <w:rPr>
          <w:i/>
        </w:rPr>
        <w:t>Chef du service de la gestion des instruments de la coopération technique de l’UE</w:t>
      </w:r>
    </w:p>
    <w:p w14:paraId="0DF9C756" w14:textId="0E6F7542" w:rsidR="00737C80" w:rsidRPr="00EA2174" w:rsidRDefault="00401E11" w:rsidP="006E29E0">
      <w:pPr>
        <w:pBdr>
          <w:top w:val="nil"/>
          <w:left w:val="nil"/>
          <w:bottom w:val="nil"/>
          <w:right w:val="nil"/>
          <w:between w:val="nil"/>
        </w:pBdr>
        <w:spacing w:line="276" w:lineRule="auto"/>
        <w:jc w:val="both"/>
        <w:rPr>
          <w:i/>
          <w:color w:val="000000"/>
        </w:rPr>
      </w:pPr>
      <w:r w:rsidRPr="00EA2174">
        <w:rPr>
          <w:i/>
          <w:color w:val="000000"/>
        </w:rPr>
        <w:t>Responsable de la CAP</w:t>
      </w:r>
    </w:p>
    <w:p w14:paraId="4260E3F7" w14:textId="77777777" w:rsidR="00737C80" w:rsidRPr="00EA2174" w:rsidRDefault="002E7DEE">
      <w:pPr>
        <w:spacing w:line="276" w:lineRule="auto"/>
        <w:jc w:val="both"/>
        <w:rPr>
          <w:i/>
        </w:rPr>
      </w:pPr>
      <w:r w:rsidRPr="00EA2174">
        <w:rPr>
          <w:i/>
        </w:rPr>
        <w:t xml:space="preserve">Direction du Trésor et des Finances extérieures  </w:t>
      </w:r>
    </w:p>
    <w:p w14:paraId="1A165DA3" w14:textId="77777777" w:rsidR="00737C80" w:rsidRPr="00EA2174" w:rsidRDefault="00FD0474">
      <w:pPr>
        <w:spacing w:line="276" w:lineRule="auto"/>
        <w:jc w:val="both"/>
        <w:rPr>
          <w:i/>
        </w:rPr>
      </w:pPr>
      <w:r w:rsidRPr="00EA2174">
        <w:rPr>
          <w:i/>
        </w:rPr>
        <w:t>Ministère de l’Économie et</w:t>
      </w:r>
      <w:r w:rsidR="002E7DEE" w:rsidRPr="00EA2174">
        <w:rPr>
          <w:i/>
        </w:rPr>
        <w:t xml:space="preserve"> des Finances du Royaume du Maroc</w:t>
      </w:r>
    </w:p>
    <w:p w14:paraId="6713070F" w14:textId="77777777" w:rsidR="00737C80" w:rsidRPr="00EA2174" w:rsidRDefault="002E7DEE">
      <w:pPr>
        <w:pBdr>
          <w:top w:val="nil"/>
          <w:left w:val="nil"/>
          <w:bottom w:val="nil"/>
          <w:right w:val="nil"/>
          <w:between w:val="nil"/>
        </w:pBdr>
        <w:spacing w:line="276" w:lineRule="auto"/>
        <w:jc w:val="both"/>
        <w:rPr>
          <w:i/>
          <w:color w:val="000000"/>
        </w:rPr>
      </w:pPr>
      <w:r w:rsidRPr="00EA2174">
        <w:rPr>
          <w:i/>
          <w:color w:val="000000"/>
        </w:rPr>
        <w:t>Quartier administratif, Chellah – Rabat, MAROC</w:t>
      </w:r>
    </w:p>
    <w:p w14:paraId="6002CA46" w14:textId="77777777" w:rsidR="00737C80" w:rsidRPr="00EA2174" w:rsidRDefault="002E7DEE">
      <w:pPr>
        <w:spacing w:line="276" w:lineRule="auto"/>
        <w:jc w:val="both"/>
        <w:rPr>
          <w:i/>
        </w:rPr>
      </w:pPr>
      <w:r w:rsidRPr="00EA2174">
        <w:rPr>
          <w:i/>
        </w:rPr>
        <w:t>Tel. + 212 (0)5.30.40.01.39 – Fax + 212 (0)5.37.67.73.72</w:t>
      </w:r>
    </w:p>
    <w:p w14:paraId="6616DAFC" w14:textId="77777777" w:rsidR="00737C80" w:rsidRPr="00162D67" w:rsidRDefault="002E7DEE">
      <w:pPr>
        <w:spacing w:line="276" w:lineRule="auto"/>
        <w:jc w:val="both"/>
        <w:rPr>
          <w:color w:val="000000"/>
          <w:u w:val="single"/>
          <w:lang w:val="it-IT"/>
        </w:rPr>
      </w:pPr>
      <w:r w:rsidRPr="00162D67">
        <w:rPr>
          <w:i/>
          <w:lang w:val="it-IT"/>
        </w:rPr>
        <w:t xml:space="preserve">E-mail : </w:t>
      </w:r>
      <w:hyperlink r:id="rId14" w:history="1">
        <w:r w:rsidR="007F560D" w:rsidRPr="00162D67">
          <w:rPr>
            <w:rStyle w:val="Collegamentoipertestuale"/>
            <w:i/>
            <w:lang w:val="it-IT"/>
          </w:rPr>
          <w:t>o.chellaf@tresor.finances.gov.ma</w:t>
        </w:r>
      </w:hyperlink>
      <w:r w:rsidR="00401E11" w:rsidRPr="00162D67">
        <w:rPr>
          <w:i/>
          <w:color w:val="000000"/>
          <w:u w:val="single"/>
          <w:lang w:val="it-IT"/>
        </w:rPr>
        <w:t xml:space="preserve"> </w:t>
      </w:r>
      <w:r w:rsidRPr="00162D67">
        <w:rPr>
          <w:color w:val="000000"/>
          <w:u w:val="single"/>
          <w:lang w:val="it-IT"/>
        </w:rPr>
        <w:t xml:space="preserve"> </w:t>
      </w:r>
    </w:p>
    <w:p w14:paraId="15DBE38B" w14:textId="77777777" w:rsidR="00737C80" w:rsidRPr="00162D67" w:rsidRDefault="00737C80">
      <w:pPr>
        <w:spacing w:line="276" w:lineRule="auto"/>
        <w:jc w:val="both"/>
        <w:rPr>
          <w:color w:val="000000"/>
          <w:u w:val="single"/>
          <w:lang w:val="it-IT"/>
        </w:rPr>
      </w:pPr>
    </w:p>
    <w:p w14:paraId="2FB517D9" w14:textId="77777777" w:rsidR="00737C80" w:rsidRPr="00EA2174" w:rsidRDefault="002E7DEE">
      <w:pPr>
        <w:pStyle w:val="Titolo2"/>
        <w:numPr>
          <w:ilvl w:val="1"/>
          <w:numId w:val="1"/>
        </w:numPr>
        <w:jc w:val="both"/>
      </w:pPr>
      <w:bookmarkStart w:id="46" w:name="_Toc200114689"/>
      <w:r w:rsidRPr="00EA2174">
        <w:t>Cadre institutionnel</w:t>
      </w:r>
      <w:bookmarkEnd w:id="46"/>
    </w:p>
    <w:p w14:paraId="5160BD31" w14:textId="77777777" w:rsidR="00737C80" w:rsidRDefault="002E7DEE" w:rsidP="00570BA4">
      <w:pPr>
        <w:jc w:val="both"/>
      </w:pPr>
      <w:r w:rsidRPr="00EA2174">
        <w:t xml:space="preserve">L’administration bénéficiaire est </w:t>
      </w:r>
      <w:r w:rsidR="00570BA4" w:rsidRPr="00EA2174">
        <w:t>l’Agence Judicaire du Royaume du Maroc</w:t>
      </w:r>
      <w:r w:rsidRPr="00EA2174">
        <w:t>.</w:t>
      </w:r>
    </w:p>
    <w:p w14:paraId="0746E715" w14:textId="77777777" w:rsidR="00DC67B0" w:rsidRPr="00EA2174" w:rsidRDefault="00DC67B0" w:rsidP="00570BA4">
      <w:pPr>
        <w:jc w:val="both"/>
      </w:pPr>
    </w:p>
    <w:p w14:paraId="461BC1C8" w14:textId="77777777" w:rsidR="00737C80" w:rsidRPr="00EA2174" w:rsidRDefault="002E7DEE">
      <w:pPr>
        <w:pStyle w:val="Titolo2"/>
        <w:numPr>
          <w:ilvl w:val="1"/>
          <w:numId w:val="1"/>
        </w:numPr>
        <w:jc w:val="both"/>
      </w:pPr>
      <w:bookmarkStart w:id="47" w:name="_Toc200114690"/>
      <w:r w:rsidRPr="00EA2174">
        <w:t>Homologues dans l’administration bénéficiaire</w:t>
      </w:r>
      <w:bookmarkEnd w:id="47"/>
    </w:p>
    <w:p w14:paraId="31E5F57E" w14:textId="77777777" w:rsidR="00737C80" w:rsidRPr="00EA2174" w:rsidRDefault="002E7DEE" w:rsidP="007A628A">
      <w:pPr>
        <w:pStyle w:val="Titolo3"/>
        <w:numPr>
          <w:ilvl w:val="2"/>
          <w:numId w:val="1"/>
        </w:numPr>
        <w:spacing w:after="120"/>
        <w:ind w:left="1276" w:hanging="709"/>
        <w:rPr>
          <w:bCs/>
        </w:rPr>
      </w:pPr>
      <w:bookmarkStart w:id="48" w:name="_Toc106025904"/>
      <w:bookmarkStart w:id="49" w:name="_Toc200114691"/>
      <w:r w:rsidRPr="00EA2174">
        <w:rPr>
          <w:bCs/>
        </w:rPr>
        <w:t>Personne de contact</w:t>
      </w:r>
      <w:bookmarkEnd w:id="48"/>
      <w:bookmarkEnd w:id="49"/>
    </w:p>
    <w:p w14:paraId="5E07A276" w14:textId="77777777" w:rsidR="00570BA4" w:rsidRPr="00995240" w:rsidRDefault="00767103" w:rsidP="00681616">
      <w:pPr>
        <w:pBdr>
          <w:top w:val="nil"/>
          <w:left w:val="nil"/>
          <w:bottom w:val="nil"/>
          <w:right w:val="nil"/>
          <w:between w:val="nil"/>
        </w:pBdr>
        <w:rPr>
          <w:i/>
          <w:iCs/>
          <w:color w:val="000000" w:themeColor="text1"/>
          <w:lang w:val="es-ES"/>
        </w:rPr>
      </w:pPr>
      <w:r w:rsidRPr="00995240">
        <w:rPr>
          <w:i/>
          <w:iCs/>
          <w:color w:val="000000" w:themeColor="text1"/>
          <w:lang w:val="es-ES"/>
        </w:rPr>
        <w:t>Madame Hajar RHOMIJA, Chef</w:t>
      </w:r>
      <w:r w:rsidR="007118F9" w:rsidRPr="00995240">
        <w:rPr>
          <w:i/>
          <w:iCs/>
          <w:color w:val="000000" w:themeColor="text1"/>
          <w:lang w:val="es-ES"/>
        </w:rPr>
        <w:t>fe</w:t>
      </w:r>
      <w:r w:rsidRPr="00995240">
        <w:rPr>
          <w:i/>
          <w:iCs/>
          <w:color w:val="000000" w:themeColor="text1"/>
          <w:lang w:val="es-ES"/>
        </w:rPr>
        <w:t xml:space="preserve"> de </w:t>
      </w:r>
      <w:r w:rsidR="00681616" w:rsidRPr="00995240">
        <w:rPr>
          <w:i/>
          <w:iCs/>
          <w:color w:val="000000" w:themeColor="text1"/>
          <w:lang w:val="es-ES"/>
        </w:rPr>
        <w:t xml:space="preserve">Division </w:t>
      </w:r>
      <w:r w:rsidRPr="00995240">
        <w:rPr>
          <w:i/>
          <w:iCs/>
          <w:color w:val="000000" w:themeColor="text1"/>
          <w:lang w:val="es-ES"/>
        </w:rPr>
        <w:t xml:space="preserve"> </w:t>
      </w:r>
    </w:p>
    <w:p w14:paraId="65F071D7" w14:textId="77777777" w:rsidR="00570BA4" w:rsidRPr="00EA2174" w:rsidRDefault="00570BA4" w:rsidP="00532097">
      <w:pPr>
        <w:pBdr>
          <w:top w:val="nil"/>
          <w:left w:val="nil"/>
          <w:bottom w:val="nil"/>
          <w:right w:val="nil"/>
          <w:between w:val="nil"/>
        </w:pBdr>
        <w:rPr>
          <w:i/>
          <w:iCs/>
          <w:color w:val="000000" w:themeColor="text1"/>
        </w:rPr>
      </w:pPr>
      <w:r w:rsidRPr="00EA2174">
        <w:rPr>
          <w:i/>
          <w:iCs/>
          <w:color w:val="000000" w:themeColor="text1"/>
        </w:rPr>
        <w:t>Agence Judiciaire du Royaume</w:t>
      </w:r>
    </w:p>
    <w:p w14:paraId="544C314D" w14:textId="77777777" w:rsidR="00570BA4" w:rsidRPr="00EA2174" w:rsidRDefault="00570BA4" w:rsidP="00532097">
      <w:pPr>
        <w:pBdr>
          <w:top w:val="nil"/>
          <w:left w:val="nil"/>
          <w:bottom w:val="nil"/>
          <w:right w:val="nil"/>
          <w:between w:val="nil"/>
        </w:pBdr>
        <w:rPr>
          <w:i/>
          <w:iCs/>
          <w:color w:val="000000" w:themeColor="text1"/>
        </w:rPr>
      </w:pPr>
      <w:r w:rsidRPr="00EA2174">
        <w:rPr>
          <w:i/>
          <w:iCs/>
          <w:color w:val="000000" w:themeColor="text1"/>
        </w:rPr>
        <w:t>Ministère de l’Economie et des Finances.</w:t>
      </w:r>
    </w:p>
    <w:p w14:paraId="0A0C3BE8" w14:textId="77777777" w:rsidR="00737C80" w:rsidRPr="00EA2174" w:rsidRDefault="00570BA4" w:rsidP="00532097">
      <w:pPr>
        <w:pBdr>
          <w:top w:val="nil"/>
          <w:left w:val="nil"/>
          <w:bottom w:val="nil"/>
          <w:right w:val="nil"/>
          <w:between w:val="nil"/>
        </w:pBdr>
        <w:jc w:val="both"/>
        <w:rPr>
          <w:i/>
          <w:iCs/>
          <w:color w:val="000000" w:themeColor="text1"/>
        </w:rPr>
      </w:pPr>
      <w:r w:rsidRPr="00EA2174">
        <w:rPr>
          <w:i/>
          <w:iCs/>
          <w:color w:val="000000" w:themeColor="text1"/>
        </w:rPr>
        <w:t>Aven. Haj Ahmed Cherkaoui, cité administrative, Agdal, Rabat - Maroc</w:t>
      </w:r>
      <w:r w:rsidR="00C1043B" w:rsidRPr="00EA2174">
        <w:rPr>
          <w:i/>
          <w:iCs/>
          <w:color w:val="000000" w:themeColor="text1"/>
        </w:rPr>
        <w:t>.</w:t>
      </w:r>
    </w:p>
    <w:p w14:paraId="1262DA19" w14:textId="77777777" w:rsidR="00532097" w:rsidRPr="00EA2174" w:rsidRDefault="00532097" w:rsidP="00532097">
      <w:pPr>
        <w:pBdr>
          <w:top w:val="nil"/>
          <w:left w:val="nil"/>
          <w:bottom w:val="nil"/>
          <w:right w:val="nil"/>
          <w:between w:val="nil"/>
        </w:pBdr>
        <w:jc w:val="both"/>
        <w:rPr>
          <w:color w:val="000000"/>
        </w:rPr>
      </w:pPr>
    </w:p>
    <w:p w14:paraId="7555A800" w14:textId="77777777" w:rsidR="00737C80" w:rsidRPr="00EA2174" w:rsidRDefault="002E7DEE" w:rsidP="007A628A">
      <w:pPr>
        <w:pStyle w:val="Titolo3"/>
        <w:numPr>
          <w:ilvl w:val="2"/>
          <w:numId w:val="1"/>
        </w:numPr>
        <w:spacing w:after="120"/>
        <w:ind w:left="1276" w:hanging="709"/>
        <w:rPr>
          <w:bCs/>
        </w:rPr>
      </w:pPr>
      <w:bookmarkStart w:id="50" w:name="_Toc106025905"/>
      <w:bookmarkStart w:id="51" w:name="_Toc200114692"/>
      <w:r w:rsidRPr="00EA2174">
        <w:rPr>
          <w:bCs/>
        </w:rPr>
        <w:t>Homologue du CP</w:t>
      </w:r>
      <w:bookmarkEnd w:id="50"/>
      <w:bookmarkEnd w:id="51"/>
    </w:p>
    <w:p w14:paraId="721B0DAB" w14:textId="77777777" w:rsidR="00737C80" w:rsidRPr="00EA2174" w:rsidRDefault="001C3B18" w:rsidP="007118F9">
      <w:pPr>
        <w:pBdr>
          <w:top w:val="nil"/>
          <w:left w:val="nil"/>
          <w:bottom w:val="nil"/>
          <w:right w:val="nil"/>
          <w:between w:val="nil"/>
        </w:pBdr>
        <w:jc w:val="both"/>
        <w:rPr>
          <w:i/>
          <w:iCs/>
          <w:color w:val="000000"/>
        </w:rPr>
      </w:pPr>
      <w:r w:rsidRPr="00EA2174">
        <w:rPr>
          <w:i/>
          <w:iCs/>
          <w:color w:val="000000"/>
        </w:rPr>
        <w:t xml:space="preserve">Mr </w:t>
      </w:r>
      <w:r w:rsidR="007118F9" w:rsidRPr="00EA2174">
        <w:rPr>
          <w:i/>
          <w:iCs/>
          <w:color w:val="000000"/>
        </w:rPr>
        <w:t>Abderrahmane ELLAMTOUNI</w:t>
      </w:r>
      <w:r w:rsidRPr="00EA2174">
        <w:rPr>
          <w:i/>
          <w:iCs/>
          <w:color w:val="000000"/>
        </w:rPr>
        <w:t>, Agent Judiciaire du Royaume</w:t>
      </w:r>
      <w:r w:rsidR="002E7DEE" w:rsidRPr="00EA2174">
        <w:rPr>
          <w:i/>
          <w:iCs/>
          <w:color w:val="000000"/>
        </w:rPr>
        <w:t xml:space="preserve">  </w:t>
      </w:r>
    </w:p>
    <w:p w14:paraId="12E85B20" w14:textId="77777777" w:rsidR="00532097" w:rsidRPr="00EA2174" w:rsidRDefault="00532097" w:rsidP="00532097">
      <w:pPr>
        <w:pBdr>
          <w:top w:val="nil"/>
          <w:left w:val="nil"/>
          <w:bottom w:val="nil"/>
          <w:right w:val="nil"/>
          <w:between w:val="nil"/>
        </w:pBdr>
        <w:rPr>
          <w:i/>
          <w:iCs/>
          <w:color w:val="000000"/>
        </w:rPr>
      </w:pPr>
      <w:r w:rsidRPr="00EA2174">
        <w:rPr>
          <w:i/>
          <w:iCs/>
          <w:color w:val="000000"/>
        </w:rPr>
        <w:t>Agence Judiciaire du Royaume</w:t>
      </w:r>
    </w:p>
    <w:p w14:paraId="76FC93CB" w14:textId="77777777" w:rsidR="00532097" w:rsidRPr="00EA2174" w:rsidRDefault="00532097" w:rsidP="00532097">
      <w:pPr>
        <w:pBdr>
          <w:top w:val="nil"/>
          <w:left w:val="nil"/>
          <w:bottom w:val="nil"/>
          <w:right w:val="nil"/>
          <w:between w:val="nil"/>
        </w:pBdr>
        <w:rPr>
          <w:i/>
          <w:iCs/>
          <w:color w:val="000000"/>
        </w:rPr>
      </w:pPr>
      <w:r w:rsidRPr="00EA2174">
        <w:rPr>
          <w:i/>
          <w:iCs/>
          <w:color w:val="000000"/>
        </w:rPr>
        <w:t>Ministère de l’Economie et des Finances.</w:t>
      </w:r>
    </w:p>
    <w:p w14:paraId="52BEC34A" w14:textId="77777777" w:rsidR="00737C80" w:rsidRPr="00EA2174" w:rsidRDefault="00532097" w:rsidP="00532097">
      <w:pPr>
        <w:pBdr>
          <w:top w:val="nil"/>
          <w:left w:val="nil"/>
          <w:bottom w:val="nil"/>
          <w:right w:val="nil"/>
          <w:between w:val="nil"/>
        </w:pBdr>
        <w:rPr>
          <w:i/>
          <w:iCs/>
          <w:color w:val="000000"/>
        </w:rPr>
      </w:pPr>
      <w:r w:rsidRPr="00EA2174">
        <w:rPr>
          <w:i/>
          <w:iCs/>
          <w:color w:val="000000"/>
        </w:rPr>
        <w:t>Aven. Haj Ahmed Cherkaoui, cité administrative, Agdal, Rabat - Maroc.</w:t>
      </w:r>
    </w:p>
    <w:p w14:paraId="7B56C120" w14:textId="77777777" w:rsidR="001C3B18" w:rsidRPr="00EA2174" w:rsidRDefault="001C3B18" w:rsidP="001C3B18">
      <w:pPr>
        <w:pStyle w:val="Titolo3"/>
        <w:spacing w:after="120"/>
        <w:ind w:left="1276" w:firstLine="0"/>
        <w:rPr>
          <w:bCs/>
        </w:rPr>
      </w:pPr>
      <w:bookmarkStart w:id="52" w:name="_Toc106025906"/>
    </w:p>
    <w:p w14:paraId="4A3BE142" w14:textId="77777777" w:rsidR="00737C80" w:rsidRPr="00EA2174" w:rsidRDefault="002E7DEE" w:rsidP="007A628A">
      <w:pPr>
        <w:pStyle w:val="Titolo3"/>
        <w:numPr>
          <w:ilvl w:val="2"/>
          <w:numId w:val="1"/>
        </w:numPr>
        <w:spacing w:after="120"/>
        <w:ind w:left="1276" w:hanging="709"/>
        <w:rPr>
          <w:bCs/>
        </w:rPr>
      </w:pPr>
      <w:bookmarkStart w:id="53" w:name="_Toc200114693"/>
      <w:r w:rsidRPr="00EA2174">
        <w:rPr>
          <w:bCs/>
        </w:rPr>
        <w:t>Homologue du CRJ</w:t>
      </w:r>
      <w:bookmarkEnd w:id="52"/>
      <w:bookmarkEnd w:id="53"/>
    </w:p>
    <w:p w14:paraId="763D8BE5" w14:textId="77777777" w:rsidR="00737C80" w:rsidRPr="00EA2174" w:rsidRDefault="001C3B18" w:rsidP="00681616">
      <w:pPr>
        <w:pBdr>
          <w:top w:val="nil"/>
          <w:left w:val="nil"/>
          <w:bottom w:val="nil"/>
          <w:right w:val="nil"/>
          <w:between w:val="nil"/>
        </w:pBdr>
        <w:spacing w:line="276" w:lineRule="auto"/>
        <w:jc w:val="both"/>
        <w:rPr>
          <w:i/>
          <w:iCs/>
          <w:color w:val="000000"/>
        </w:rPr>
      </w:pPr>
      <w:r w:rsidRPr="00EA2174">
        <w:rPr>
          <w:i/>
          <w:iCs/>
          <w:color w:val="000000"/>
        </w:rPr>
        <w:t xml:space="preserve">Mr </w:t>
      </w:r>
      <w:r w:rsidR="00532097" w:rsidRPr="00EA2174">
        <w:rPr>
          <w:i/>
          <w:iCs/>
          <w:color w:val="000000"/>
        </w:rPr>
        <w:t xml:space="preserve"> </w:t>
      </w:r>
      <w:r w:rsidRPr="00EA2174">
        <w:rPr>
          <w:i/>
          <w:iCs/>
          <w:color w:val="000000"/>
        </w:rPr>
        <w:t xml:space="preserve">ENNACIRI </w:t>
      </w:r>
      <w:r w:rsidR="00681616" w:rsidRPr="00EA2174">
        <w:rPr>
          <w:i/>
          <w:iCs/>
          <w:color w:val="000000"/>
        </w:rPr>
        <w:t>El Houssaine</w:t>
      </w:r>
      <w:r w:rsidRPr="00EA2174">
        <w:rPr>
          <w:i/>
          <w:iCs/>
          <w:color w:val="000000"/>
        </w:rPr>
        <w:t>, Adjoint au directeur,</w:t>
      </w:r>
      <w:r w:rsidR="002E7DEE" w:rsidRPr="00EA2174">
        <w:rPr>
          <w:i/>
          <w:iCs/>
          <w:color w:val="000000"/>
        </w:rPr>
        <w:t xml:space="preserve"> </w:t>
      </w:r>
    </w:p>
    <w:p w14:paraId="322CD81D" w14:textId="77777777" w:rsidR="00532097" w:rsidRPr="00EA2174" w:rsidRDefault="00532097" w:rsidP="00532097">
      <w:pPr>
        <w:pBdr>
          <w:top w:val="nil"/>
          <w:left w:val="nil"/>
          <w:bottom w:val="nil"/>
          <w:right w:val="nil"/>
          <w:between w:val="nil"/>
        </w:pBdr>
        <w:spacing w:line="276" w:lineRule="auto"/>
        <w:jc w:val="both"/>
        <w:rPr>
          <w:i/>
          <w:iCs/>
          <w:color w:val="000000"/>
        </w:rPr>
      </w:pPr>
      <w:r w:rsidRPr="00EA2174">
        <w:rPr>
          <w:i/>
          <w:iCs/>
          <w:color w:val="000000"/>
        </w:rPr>
        <w:t>Agence Judiciaire du Royaume</w:t>
      </w:r>
    </w:p>
    <w:p w14:paraId="7D6B9730" w14:textId="77777777" w:rsidR="00532097" w:rsidRPr="00EA2174" w:rsidRDefault="00532097" w:rsidP="00532097">
      <w:pPr>
        <w:pBdr>
          <w:top w:val="nil"/>
          <w:left w:val="nil"/>
          <w:bottom w:val="nil"/>
          <w:right w:val="nil"/>
          <w:between w:val="nil"/>
        </w:pBdr>
        <w:spacing w:line="276" w:lineRule="auto"/>
        <w:jc w:val="both"/>
        <w:rPr>
          <w:i/>
          <w:iCs/>
          <w:color w:val="000000"/>
        </w:rPr>
      </w:pPr>
      <w:r w:rsidRPr="00EA2174">
        <w:rPr>
          <w:i/>
          <w:iCs/>
          <w:color w:val="000000"/>
        </w:rPr>
        <w:t>Ministère de l’Economie et des Finances.</w:t>
      </w:r>
    </w:p>
    <w:p w14:paraId="239417A8" w14:textId="77777777" w:rsidR="00737C80" w:rsidRPr="00EA2174" w:rsidRDefault="00532097" w:rsidP="00532097">
      <w:pPr>
        <w:pBdr>
          <w:top w:val="nil"/>
          <w:left w:val="nil"/>
          <w:bottom w:val="nil"/>
          <w:right w:val="nil"/>
          <w:between w:val="nil"/>
        </w:pBdr>
        <w:spacing w:line="276" w:lineRule="auto"/>
        <w:jc w:val="both"/>
        <w:rPr>
          <w:color w:val="000000"/>
        </w:rPr>
      </w:pPr>
      <w:r w:rsidRPr="00EA2174">
        <w:rPr>
          <w:i/>
          <w:iCs/>
          <w:color w:val="000000"/>
        </w:rPr>
        <w:t>Aven. Haj Ahmed Cherkaoui, cité administrative, Agdal, Rabat - Maroc</w:t>
      </w:r>
      <w:r w:rsidR="00C1043B" w:rsidRPr="00EA2174">
        <w:rPr>
          <w:i/>
          <w:iCs/>
          <w:color w:val="000000"/>
        </w:rPr>
        <w:t>.</w:t>
      </w:r>
    </w:p>
    <w:p w14:paraId="035C4E65" w14:textId="77777777" w:rsidR="00737C80" w:rsidRPr="00EA2174" w:rsidRDefault="00737C80">
      <w:pPr>
        <w:pBdr>
          <w:top w:val="nil"/>
          <w:left w:val="nil"/>
          <w:bottom w:val="nil"/>
          <w:right w:val="nil"/>
          <w:between w:val="nil"/>
        </w:pBdr>
        <w:spacing w:line="276" w:lineRule="auto"/>
        <w:jc w:val="both"/>
        <w:rPr>
          <w:color w:val="000000"/>
        </w:rPr>
      </w:pPr>
    </w:p>
    <w:p w14:paraId="07381B50" w14:textId="77777777" w:rsidR="00737C80" w:rsidRPr="00EA2174" w:rsidRDefault="002E7DEE" w:rsidP="002E7DEE">
      <w:pPr>
        <w:pStyle w:val="Titolo1"/>
        <w:numPr>
          <w:ilvl w:val="0"/>
          <w:numId w:val="1"/>
        </w:numPr>
        <w:pBdr>
          <w:bottom w:val="single" w:sz="4" w:space="1" w:color="auto"/>
        </w:pBdr>
      </w:pPr>
      <w:bookmarkStart w:id="54" w:name="_Toc200114694"/>
      <w:r w:rsidRPr="00EA2174">
        <w:t>Durée du projet</w:t>
      </w:r>
      <w:bookmarkEnd w:id="54"/>
    </w:p>
    <w:p w14:paraId="0E7C7C65" w14:textId="77777777" w:rsidR="00737C80" w:rsidRPr="00EA2174" w:rsidRDefault="002E7DEE" w:rsidP="001C3B18">
      <w:pPr>
        <w:jc w:val="both"/>
        <w:rPr>
          <w:color w:val="FF0000"/>
        </w:rPr>
      </w:pPr>
      <w:r w:rsidRPr="00EA2174">
        <w:t xml:space="preserve">La période d’exécution est de </w:t>
      </w:r>
      <w:r w:rsidR="00DC67B0" w:rsidRPr="00EA2174">
        <w:rPr>
          <w:b/>
        </w:rPr>
        <w:t>2</w:t>
      </w:r>
      <w:r w:rsidR="00DC67B0">
        <w:rPr>
          <w:b/>
        </w:rPr>
        <w:t>4</w:t>
      </w:r>
      <w:r w:rsidR="00DC67B0" w:rsidRPr="00EA2174">
        <w:rPr>
          <w:b/>
        </w:rPr>
        <w:t xml:space="preserve"> </w:t>
      </w:r>
      <w:r w:rsidRPr="00EA2174">
        <w:rPr>
          <w:b/>
        </w:rPr>
        <w:t>mois</w:t>
      </w:r>
      <w:r w:rsidRPr="00EA2174">
        <w:t xml:space="preserve">. </w:t>
      </w:r>
    </w:p>
    <w:p w14:paraId="58BCE83C" w14:textId="77777777" w:rsidR="00737C80" w:rsidRPr="00EA2174" w:rsidRDefault="002E7DEE" w:rsidP="002E7DEE">
      <w:pPr>
        <w:pStyle w:val="Titolo1"/>
        <w:numPr>
          <w:ilvl w:val="0"/>
          <w:numId w:val="1"/>
        </w:numPr>
        <w:pBdr>
          <w:bottom w:val="single" w:sz="4" w:space="1" w:color="auto"/>
        </w:pBdr>
      </w:pPr>
      <w:bookmarkStart w:id="55" w:name="_Toc200114695"/>
      <w:r w:rsidRPr="00EA2174">
        <w:t>Gestion et rapports</w:t>
      </w:r>
      <w:bookmarkEnd w:id="55"/>
    </w:p>
    <w:p w14:paraId="622632D1" w14:textId="77777777" w:rsidR="00737C80" w:rsidRPr="00EA2174" w:rsidRDefault="002E7DEE">
      <w:pPr>
        <w:pStyle w:val="Titolo2"/>
        <w:numPr>
          <w:ilvl w:val="1"/>
          <w:numId w:val="1"/>
        </w:numPr>
        <w:jc w:val="both"/>
      </w:pPr>
      <w:bookmarkStart w:id="56" w:name="_Toc200114696"/>
      <w:r w:rsidRPr="00EA2174">
        <w:t>Langue</w:t>
      </w:r>
      <w:bookmarkEnd w:id="56"/>
      <w:r w:rsidRPr="00EA2174">
        <w:t xml:space="preserve"> </w:t>
      </w:r>
    </w:p>
    <w:p w14:paraId="6E7860C7" w14:textId="77777777" w:rsidR="00737C80" w:rsidRPr="00EA2174" w:rsidRDefault="002E7DEE">
      <w:pPr>
        <w:spacing w:before="120" w:after="120"/>
        <w:jc w:val="both"/>
      </w:pPr>
      <w:r w:rsidRPr="00EA2174">
        <w:t>La langue officielle du projet est celle utilisée comme langue contractuelle dans le cadre de l’instrument (</w:t>
      </w:r>
      <w:r w:rsidRPr="00EA2174">
        <w:rPr>
          <w:b/>
        </w:rPr>
        <w:t>français</w:t>
      </w:r>
      <w:r w:rsidRPr="00EA2174">
        <w:t xml:space="preserve">). Toutes les communications officielles concernant le projet, notamment les rapports intermédiaires et le rapport final, sont rédigées dans la langue du contrat. </w:t>
      </w:r>
    </w:p>
    <w:p w14:paraId="1B259EDE" w14:textId="77777777" w:rsidR="00737C80" w:rsidRDefault="002E7DEE">
      <w:pPr>
        <w:pStyle w:val="Titolo2"/>
        <w:numPr>
          <w:ilvl w:val="1"/>
          <w:numId w:val="1"/>
        </w:numPr>
        <w:jc w:val="both"/>
      </w:pPr>
      <w:bookmarkStart w:id="57" w:name="_Toc200114697"/>
      <w:r w:rsidRPr="00EA2174">
        <w:t>Comité de pilotage du projet</w:t>
      </w:r>
      <w:bookmarkEnd w:id="57"/>
      <w:r w:rsidRPr="00EA2174">
        <w:t xml:space="preserve"> </w:t>
      </w:r>
    </w:p>
    <w:p w14:paraId="0D4C65C5" w14:textId="77777777" w:rsidR="002E3E0A" w:rsidRPr="002E3E0A" w:rsidRDefault="002E3E0A" w:rsidP="00995240">
      <w:pPr>
        <w:autoSpaceDE w:val="0"/>
        <w:autoSpaceDN w:val="0"/>
        <w:adjustRightInd w:val="0"/>
        <w:jc w:val="both"/>
      </w:pPr>
      <w:r w:rsidRPr="002E3E0A">
        <w:t>Un comité de pilotage du projet (CPP) supervise la mise en œuvre du projet. Ses principales tâches consistent à vérifier l’avancement du projet et les réalisations par rapport à la chaîne de résultats/produits obligatoires (des résultats/produits obligatoires par volet aux retombées), garantir une coordination efficace entre les acteurs, finaliser les rapports intermédiaires et discuter du plan de travail actualisé.</w:t>
      </w:r>
    </w:p>
    <w:p w14:paraId="46E8F61B" w14:textId="77777777" w:rsidR="00737C80" w:rsidRPr="00EA2174" w:rsidRDefault="002E7DEE">
      <w:pPr>
        <w:pStyle w:val="Titolo2"/>
        <w:numPr>
          <w:ilvl w:val="1"/>
          <w:numId w:val="1"/>
        </w:numPr>
        <w:jc w:val="both"/>
      </w:pPr>
      <w:bookmarkStart w:id="58" w:name="_Toc200114698"/>
      <w:r w:rsidRPr="00EA2174">
        <w:t>Rapports</w:t>
      </w:r>
      <w:bookmarkEnd w:id="58"/>
    </w:p>
    <w:p w14:paraId="723644D8" w14:textId="77777777" w:rsidR="002E3E0A" w:rsidRPr="002E3E0A" w:rsidRDefault="002E3E0A" w:rsidP="00995240">
      <w:pPr>
        <w:jc w:val="both"/>
      </w:pPr>
      <w:r w:rsidRPr="002E3E0A">
        <w:t xml:space="preserve">Tous les rapports sont constitués d’une partie descriptive et d’une partie financière. Ils comprennent au minimum les informations détaillées aux points 5.5.2 (rapports intermédiaires) et 5.5.3 (rapport final) du manuel de jumelage. Les rapports doivent aller au-delà des activités et des contributions. Deux types de rapports sont prévus dans le cadre du jumelage : les rapports intermédiaires trimestriels et le rapport final. Un rapport intermédiaire trimestriel est présenté pour discussion à chaque réunion du CPP. La partie descriptive dresse principalement le bilan des progrès accomplis et des réalisations par rapport aux résultats obligatoires, </w:t>
      </w:r>
      <w:r w:rsidRPr="00995240">
        <w:t>formule des recommandations précises et propose des mesures correctives à envisager pour assurer la progression de la mise en œuvre du projet</w:t>
      </w:r>
      <w:r w:rsidRPr="002E3E0A">
        <w:t xml:space="preserve">. </w:t>
      </w:r>
    </w:p>
    <w:p w14:paraId="26FC06E9" w14:textId="77777777" w:rsidR="00737C80" w:rsidRPr="00EA2174" w:rsidRDefault="002E7DEE" w:rsidP="002E3E0A">
      <w:pPr>
        <w:pStyle w:val="Titolo1"/>
        <w:numPr>
          <w:ilvl w:val="0"/>
          <w:numId w:val="1"/>
        </w:numPr>
        <w:pBdr>
          <w:bottom w:val="single" w:sz="4" w:space="1" w:color="auto"/>
        </w:pBdr>
      </w:pPr>
      <w:bookmarkStart w:id="59" w:name="_Toc200114699"/>
      <w:r w:rsidRPr="00EA2174">
        <w:t>Durabilité</w:t>
      </w:r>
      <w:bookmarkEnd w:id="59"/>
    </w:p>
    <w:p w14:paraId="2DA1D69D" w14:textId="77777777" w:rsidR="002E3E0A" w:rsidRPr="002E3E0A" w:rsidRDefault="002E3E0A" w:rsidP="00995240">
      <w:pPr>
        <w:jc w:val="both"/>
      </w:pPr>
      <w:r w:rsidRPr="002E3E0A">
        <w:t xml:space="preserve">L’identification et la formulation de ce projet ont été effectuées en concertation très étroite avec le bénéficiaire, et notamment l’équipe qui va suivre la mise en œuvre des activités. Le fort degré d’appropriation à ce stade est en soi une garantie d’efficacité et de durabilité des acquis du projet. </w:t>
      </w:r>
    </w:p>
    <w:p w14:paraId="34B300D4" w14:textId="77777777" w:rsidR="002E3E0A" w:rsidRPr="00995240" w:rsidRDefault="002E3E0A" w:rsidP="00995240">
      <w:pPr>
        <w:pStyle w:val="Paragrafoelenco"/>
        <w:ind w:left="432"/>
        <w:jc w:val="both"/>
      </w:pPr>
    </w:p>
    <w:p w14:paraId="52339CE8" w14:textId="77777777" w:rsidR="002E3E0A" w:rsidRPr="002E3E0A" w:rsidRDefault="002E3E0A" w:rsidP="00995240">
      <w:pPr>
        <w:jc w:val="both"/>
      </w:pPr>
      <w:r w:rsidRPr="002E3E0A">
        <w:t xml:space="preserve">Les résultats obligatoires de ce projet de jumelage ont un caractère structurant pour le bénéficiaire et toutes les activités de formation et sensibilisation sont conçues pour avoir un effet multiplicateur. Les actions menées par ce projet de jumelage contribueront non seulement à élever le niveau de professionnalisme des parties prenantes mais aussi permettront une pérennisation des résultats de ce projet par une structure plus performante et par la création d’un corps de formateurs homogène et exerçant selon les standards internationaux dans le domaine. </w:t>
      </w:r>
    </w:p>
    <w:p w14:paraId="21174C98" w14:textId="77777777" w:rsidR="002E3E0A" w:rsidRPr="002E3E0A" w:rsidRDefault="002E3E0A" w:rsidP="00995240">
      <w:pPr>
        <w:jc w:val="both"/>
      </w:pPr>
    </w:p>
    <w:p w14:paraId="15E234AB" w14:textId="77777777" w:rsidR="002E3E0A" w:rsidRPr="002E3E0A" w:rsidRDefault="002E3E0A" w:rsidP="00995240">
      <w:pPr>
        <w:jc w:val="both"/>
      </w:pPr>
      <w:r w:rsidRPr="002E3E0A">
        <w:t>Le jumelage permettra le partage des meilleures pratiques de l’UE afin que le bénéficiaires et les parties prenantes puissent diffuser ces compétences et actualiser les méthodes et pratiques au-delà de la durée de vie de ce projet de jumelage.</w:t>
      </w:r>
    </w:p>
    <w:p w14:paraId="220B489C" w14:textId="77777777" w:rsidR="002E3E0A" w:rsidRPr="002E3E0A" w:rsidRDefault="002E3E0A" w:rsidP="00995240">
      <w:pPr>
        <w:pStyle w:val="Paragrafoelenco"/>
        <w:ind w:left="432"/>
        <w:jc w:val="both"/>
        <w:rPr>
          <w:i/>
          <w:color w:val="000000"/>
          <w:sz w:val="16"/>
          <w:szCs w:val="16"/>
        </w:rPr>
      </w:pPr>
    </w:p>
    <w:p w14:paraId="25ED3CE6" w14:textId="77777777" w:rsidR="00737C80" w:rsidRPr="00EA2174" w:rsidRDefault="002E7DEE" w:rsidP="002E7DEE">
      <w:pPr>
        <w:pStyle w:val="Titolo1"/>
        <w:numPr>
          <w:ilvl w:val="0"/>
          <w:numId w:val="1"/>
        </w:numPr>
        <w:pBdr>
          <w:bottom w:val="single" w:sz="4" w:space="1" w:color="auto"/>
        </w:pBdr>
      </w:pPr>
      <w:bookmarkStart w:id="60" w:name="_Toc200114700"/>
      <w:r w:rsidRPr="00EA2174">
        <w:t>Questions transversales</w:t>
      </w:r>
      <w:bookmarkEnd w:id="60"/>
    </w:p>
    <w:p w14:paraId="19460E30" w14:textId="77777777" w:rsidR="00737C80" w:rsidRPr="00EA2174" w:rsidRDefault="002E7DEE">
      <w:pPr>
        <w:pStyle w:val="Titolo2"/>
        <w:numPr>
          <w:ilvl w:val="1"/>
          <w:numId w:val="1"/>
        </w:numPr>
        <w:jc w:val="both"/>
      </w:pPr>
      <w:bookmarkStart w:id="61" w:name="_Toc200114701"/>
      <w:r w:rsidRPr="00EA2174">
        <w:t>Egalité des chances</w:t>
      </w:r>
      <w:bookmarkEnd w:id="61"/>
    </w:p>
    <w:p w14:paraId="2F9AF79E" w14:textId="77777777" w:rsidR="00737C80" w:rsidRPr="00EA2174" w:rsidRDefault="002E7DEE">
      <w:pPr>
        <w:jc w:val="both"/>
      </w:pPr>
      <w:r w:rsidRPr="00EA2174">
        <w:t>Dans sa phase d’élaboration, de mise en place et d’exécution, l’EM et le bénéficiaire fonderont leurs stratégies sur une approche intégrée de la dimension du genre et des personnes défavorisées.</w:t>
      </w:r>
    </w:p>
    <w:p w14:paraId="671A3A5E" w14:textId="77777777" w:rsidR="00737C80" w:rsidRPr="00EA2174" w:rsidRDefault="002E7DEE">
      <w:pPr>
        <w:pStyle w:val="Titolo2"/>
        <w:numPr>
          <w:ilvl w:val="1"/>
          <w:numId w:val="1"/>
        </w:numPr>
        <w:jc w:val="both"/>
      </w:pPr>
      <w:bookmarkStart w:id="62" w:name="_Toc200114702"/>
      <w:r w:rsidRPr="00EA2174">
        <w:t>Environnement</w:t>
      </w:r>
      <w:bookmarkEnd w:id="62"/>
    </w:p>
    <w:p w14:paraId="743E1D69" w14:textId="77777777" w:rsidR="00737C80" w:rsidRPr="00EA2174" w:rsidRDefault="002E7DEE">
      <w:pPr>
        <w:spacing w:before="240"/>
        <w:jc w:val="both"/>
      </w:pPr>
      <w:r w:rsidRPr="00EA2174">
        <w:t>Ce projet, de par son caractère, aura des résultats éminemment bénéfiques pour l’environnement. Comme tout projet de jumelage, il s’assure, durant sa mise en œuvre, que les règles environnementales soient à tout moment respectées, que ce soit lors de ses actions, de ses formations ou du choix d’éventuels équipements.</w:t>
      </w:r>
    </w:p>
    <w:p w14:paraId="0DFB2941" w14:textId="77777777" w:rsidR="00737C80" w:rsidRPr="00EA2174" w:rsidRDefault="002E7DEE" w:rsidP="002E7DEE">
      <w:pPr>
        <w:pStyle w:val="Titolo1"/>
        <w:numPr>
          <w:ilvl w:val="0"/>
          <w:numId w:val="1"/>
        </w:numPr>
        <w:pBdr>
          <w:bottom w:val="single" w:sz="4" w:space="1" w:color="auto"/>
        </w:pBdr>
      </w:pPr>
      <w:bookmarkStart w:id="63" w:name="_Toc200114703"/>
      <w:r w:rsidRPr="00EA2174">
        <w:t>Conditionnalité et échelonnement</w:t>
      </w:r>
      <w:bookmarkEnd w:id="63"/>
    </w:p>
    <w:p w14:paraId="776A497F" w14:textId="77777777" w:rsidR="00737C80" w:rsidRPr="00EA2174" w:rsidRDefault="002E7DEE">
      <w:pPr>
        <w:spacing w:after="240"/>
        <w:jc w:val="both"/>
      </w:pPr>
      <w:r w:rsidRPr="00EA2174">
        <w:t>Il n’y a ni condition ni séquençage préalables à ce projet de jumelage. Néanmoins, un engagement et un soutien forts sont attendus de la part du bénéficiaire, y compris sa volonté d’établir un Comité de pilotage au sein duquel il jouera un rôle actif dans la coordination et la mise en œuvre du projet.</w:t>
      </w:r>
    </w:p>
    <w:p w14:paraId="439297C1" w14:textId="77777777" w:rsidR="00737C80" w:rsidRPr="00EA2174" w:rsidRDefault="002E7DEE" w:rsidP="002E7DEE">
      <w:pPr>
        <w:pStyle w:val="Titolo1"/>
        <w:numPr>
          <w:ilvl w:val="0"/>
          <w:numId w:val="1"/>
        </w:numPr>
        <w:pBdr>
          <w:bottom w:val="single" w:sz="4" w:space="1" w:color="auto"/>
        </w:pBdr>
      </w:pPr>
      <w:bookmarkStart w:id="64" w:name="_Toc200114704"/>
      <w:r w:rsidRPr="00EA2174">
        <w:t>Indicateurs de performance</w:t>
      </w:r>
      <w:bookmarkEnd w:id="64"/>
    </w:p>
    <w:p w14:paraId="69D4A273" w14:textId="77777777" w:rsidR="00737C80" w:rsidRPr="00EA2174" w:rsidRDefault="002E7DEE" w:rsidP="002E7DEE">
      <w:pPr>
        <w:spacing w:before="240"/>
        <w:jc w:val="both"/>
      </w:pPr>
      <w:r w:rsidRPr="00EA2174">
        <w:t>En complément des éléments de la section « Résultats par volets », les indicateurs seront détaillés dans le plan de travail initial. Il convient de donner des éléments qualitatifs et non seulement quantitatifs. Par exemple, les indicateurs de formation doivent inclure, en plus du nombre de participants, des taux de satisfaction des participants, taux mesurés à partir des fiches d’évaluation remplies par ceux-ci en fin de session.</w:t>
      </w:r>
    </w:p>
    <w:p w14:paraId="1D68FFBA" w14:textId="77777777" w:rsidR="002E7DEE" w:rsidRPr="00EA2174" w:rsidRDefault="002E7DEE">
      <w:pPr>
        <w:jc w:val="both"/>
      </w:pPr>
    </w:p>
    <w:p w14:paraId="60275643" w14:textId="77777777" w:rsidR="00AD1F84" w:rsidRDefault="002E7DEE" w:rsidP="00995240">
      <w:pPr>
        <w:jc w:val="both"/>
      </w:pPr>
      <w:r w:rsidRPr="00EA2174">
        <w:t xml:space="preserve">Un indicateur doit être « SMART » (spécifique, mesurable, atteignable, réaliste et placé dans le temps). Les indicateurs d’activité mesurent les productions du projet et les indicateurs de résultat en mesurent les effets. </w:t>
      </w:r>
    </w:p>
    <w:p w14:paraId="6025446B" w14:textId="77777777" w:rsidR="00F26932" w:rsidRDefault="00F26932" w:rsidP="00995240">
      <w:pPr>
        <w:jc w:val="both"/>
      </w:pPr>
    </w:p>
    <w:p w14:paraId="10BEB549" w14:textId="77777777" w:rsidR="00F26932" w:rsidRDefault="00F26932" w:rsidP="00995240">
      <w:pPr>
        <w:jc w:val="both"/>
      </w:pPr>
      <w:r w:rsidRPr="00F26932">
        <w:t>Le tableau ci-dessous propose les indicateurs suivants qui auront vocation à être ajustés dans le plan de travail :</w:t>
      </w:r>
    </w:p>
    <w:p w14:paraId="7F3D6105" w14:textId="77777777" w:rsidR="00AD1F84" w:rsidRDefault="00AD1F84" w:rsidP="00995240">
      <w:pPr>
        <w:jc w:val="both"/>
      </w:pPr>
    </w:p>
    <w:tbl>
      <w:tblPr>
        <w:tblStyle w:val="Grigliatabella"/>
        <w:tblW w:w="0" w:type="auto"/>
        <w:tblLook w:val="04A0" w:firstRow="1" w:lastRow="0" w:firstColumn="1" w:lastColumn="0" w:noHBand="0" w:noVBand="1"/>
      </w:tblPr>
      <w:tblGrid>
        <w:gridCol w:w="9016"/>
      </w:tblGrid>
      <w:tr w:rsidR="00F26932" w:rsidRPr="00F26932" w14:paraId="11462FF6" w14:textId="77777777" w:rsidTr="00F26932">
        <w:tc>
          <w:tcPr>
            <w:tcW w:w="9016" w:type="dxa"/>
            <w:tcBorders>
              <w:top w:val="single" w:sz="4" w:space="0" w:color="auto"/>
              <w:left w:val="single" w:sz="4" w:space="0" w:color="auto"/>
              <w:bottom w:val="single" w:sz="4" w:space="0" w:color="auto"/>
              <w:right w:val="single" w:sz="4" w:space="0" w:color="auto"/>
            </w:tcBorders>
          </w:tcPr>
          <w:p w14:paraId="70C00329" w14:textId="77777777" w:rsidR="00F26932" w:rsidRPr="00F26932" w:rsidRDefault="00F26932">
            <w:pPr>
              <w:rPr>
                <w:b/>
                <w:bCs/>
                <w:sz w:val="22"/>
                <w:szCs w:val="22"/>
                <w:lang w:bidi="fr-FR"/>
              </w:rPr>
            </w:pPr>
            <w:r w:rsidRPr="00F26932">
              <w:rPr>
                <w:b/>
                <w:bCs/>
                <w:sz w:val="22"/>
                <w:szCs w:val="22"/>
                <w:lang w:bidi="fr-FR"/>
              </w:rPr>
              <w:t>Volet n°1/Résultat n°1</w:t>
            </w:r>
          </w:p>
        </w:tc>
      </w:tr>
      <w:tr w:rsidR="00F26932" w:rsidRPr="00F26932" w14:paraId="79E82511" w14:textId="77777777" w:rsidTr="00591E8B">
        <w:tc>
          <w:tcPr>
            <w:tcW w:w="9016" w:type="dxa"/>
            <w:tcBorders>
              <w:top w:val="single" w:sz="4" w:space="0" w:color="auto"/>
              <w:left w:val="single" w:sz="4" w:space="0" w:color="auto"/>
              <w:bottom w:val="single" w:sz="4" w:space="0" w:color="auto"/>
              <w:right w:val="single" w:sz="4" w:space="0" w:color="auto"/>
            </w:tcBorders>
          </w:tcPr>
          <w:p w14:paraId="4CAAB1C7" w14:textId="77777777" w:rsidR="00F26932" w:rsidRPr="00F26932" w:rsidRDefault="00F26932" w:rsidP="00F26932">
            <w:pPr>
              <w:rPr>
                <w:sz w:val="22"/>
                <w:szCs w:val="22"/>
                <w:lang w:bidi="fr-FR"/>
              </w:rPr>
            </w:pPr>
            <w:r w:rsidRPr="00F26932">
              <w:rPr>
                <w:sz w:val="22"/>
                <w:szCs w:val="22"/>
                <w:lang w:bidi="fr-FR"/>
              </w:rPr>
              <w:t>Indicateurs :</w:t>
            </w:r>
          </w:p>
          <w:p w14:paraId="4B730F16" w14:textId="77777777" w:rsidR="00F26932" w:rsidRPr="00F26932" w:rsidRDefault="00F26932" w:rsidP="00F26932">
            <w:pPr>
              <w:pStyle w:val="Paragrafoelenco"/>
              <w:numPr>
                <w:ilvl w:val="0"/>
                <w:numId w:val="25"/>
              </w:numPr>
              <w:rPr>
                <w:sz w:val="22"/>
                <w:szCs w:val="22"/>
                <w:lang w:bidi="fr-FR"/>
              </w:rPr>
            </w:pPr>
            <w:r w:rsidRPr="00F26932">
              <w:rPr>
                <w:sz w:val="22"/>
                <w:szCs w:val="22"/>
                <w:lang w:bidi="fr-FR"/>
              </w:rPr>
              <w:t>Une étude de benchmarking détaillée sur les cadres juridiques en vigueur dans les États membres de l’Union européenne est réalisée et validée.</w:t>
            </w:r>
          </w:p>
          <w:p w14:paraId="18169922" w14:textId="77777777" w:rsidR="00F26932" w:rsidRPr="00F26932" w:rsidRDefault="00F26932" w:rsidP="00F26932">
            <w:pPr>
              <w:pStyle w:val="Paragrafoelenco"/>
              <w:numPr>
                <w:ilvl w:val="0"/>
                <w:numId w:val="25"/>
              </w:numPr>
              <w:rPr>
                <w:sz w:val="22"/>
                <w:szCs w:val="22"/>
                <w:lang w:bidi="fr-FR"/>
              </w:rPr>
            </w:pPr>
            <w:r w:rsidRPr="00F26932">
              <w:rPr>
                <w:sz w:val="22"/>
                <w:szCs w:val="22"/>
                <w:lang w:bidi="fr-FR"/>
              </w:rPr>
              <w:t>Au moins deux textes juridiques (projets de loi, décrets ou arrêtés) sont rédigés, révisés ou actualisés afin de moderniser le cadre juridique de l’AJR.</w:t>
            </w:r>
          </w:p>
          <w:p w14:paraId="35FD7489" w14:textId="77777777" w:rsidR="00F26932" w:rsidRPr="00F26932" w:rsidRDefault="00F26932" w:rsidP="00F26932">
            <w:pPr>
              <w:pStyle w:val="Paragrafoelenco"/>
              <w:numPr>
                <w:ilvl w:val="0"/>
                <w:numId w:val="25"/>
              </w:numPr>
              <w:rPr>
                <w:sz w:val="22"/>
                <w:szCs w:val="22"/>
                <w:lang w:bidi="fr-FR"/>
              </w:rPr>
            </w:pPr>
            <w:r w:rsidRPr="00F26932">
              <w:rPr>
                <w:sz w:val="22"/>
                <w:szCs w:val="22"/>
                <w:lang w:bidi="fr-FR"/>
              </w:rPr>
              <w:t>Appui à la mise en place d’un système d’information juridique intégré permettant le suivi, l’analyse et la gestion prévisionnelle du contentieux.</w:t>
            </w:r>
          </w:p>
          <w:p w14:paraId="576C74AC" w14:textId="77777777" w:rsidR="00F26932" w:rsidRPr="00F26932" w:rsidRDefault="00F26932" w:rsidP="00F26932">
            <w:pPr>
              <w:pStyle w:val="Paragrafoelenco"/>
              <w:numPr>
                <w:ilvl w:val="0"/>
                <w:numId w:val="25"/>
              </w:numPr>
              <w:rPr>
                <w:sz w:val="22"/>
                <w:szCs w:val="22"/>
                <w:lang w:bidi="fr-FR"/>
              </w:rPr>
            </w:pPr>
            <w:r w:rsidRPr="00F26932">
              <w:rPr>
                <w:sz w:val="22"/>
                <w:szCs w:val="22"/>
                <w:lang w:bidi="fr-FR"/>
              </w:rPr>
              <w:t>Un outil numérique de veille juridique est conçu et intégré dans les procédures internes de l’AJR.</w:t>
            </w:r>
          </w:p>
          <w:p w14:paraId="76C4E091" w14:textId="77777777" w:rsidR="00F26932" w:rsidRPr="00F26932" w:rsidRDefault="00F26932" w:rsidP="00F26932">
            <w:pPr>
              <w:pStyle w:val="Paragrafoelenco"/>
              <w:numPr>
                <w:ilvl w:val="0"/>
                <w:numId w:val="25"/>
              </w:numPr>
              <w:rPr>
                <w:sz w:val="22"/>
                <w:szCs w:val="22"/>
                <w:lang w:bidi="fr-FR"/>
              </w:rPr>
            </w:pPr>
            <w:r w:rsidRPr="00F26932">
              <w:rPr>
                <w:sz w:val="22"/>
                <w:szCs w:val="22"/>
                <w:lang w:bidi="fr-FR"/>
              </w:rPr>
              <w:t>Un diagnostic organisationnel et fonctionnel de la fonction veille est réalisé, assorti d’un plan stratégique de mise en œuvre validé.</w:t>
            </w:r>
          </w:p>
        </w:tc>
      </w:tr>
      <w:tr w:rsidR="00F26932" w:rsidRPr="00F26932" w14:paraId="7133E59B" w14:textId="77777777" w:rsidTr="00F26932">
        <w:tc>
          <w:tcPr>
            <w:tcW w:w="9016" w:type="dxa"/>
            <w:tcBorders>
              <w:top w:val="single" w:sz="4" w:space="0" w:color="auto"/>
              <w:left w:val="single" w:sz="4" w:space="0" w:color="auto"/>
              <w:bottom w:val="single" w:sz="4" w:space="0" w:color="auto"/>
              <w:right w:val="single" w:sz="4" w:space="0" w:color="auto"/>
            </w:tcBorders>
          </w:tcPr>
          <w:p w14:paraId="59E2E9E5" w14:textId="145DEFB2" w:rsidR="00F26932" w:rsidRPr="00F26932" w:rsidRDefault="00F26932" w:rsidP="00AA3B28">
            <w:pPr>
              <w:rPr>
                <w:b/>
                <w:bCs/>
                <w:sz w:val="22"/>
                <w:szCs w:val="22"/>
                <w:lang w:bidi="fr-FR"/>
              </w:rPr>
            </w:pPr>
            <w:r w:rsidRPr="00F26932">
              <w:rPr>
                <w:b/>
                <w:bCs/>
                <w:sz w:val="22"/>
                <w:szCs w:val="22"/>
                <w:lang w:bidi="fr-FR"/>
              </w:rPr>
              <w:t>Volet n°2/Résultat n°2.1</w:t>
            </w:r>
          </w:p>
        </w:tc>
      </w:tr>
      <w:tr w:rsidR="00AA3B28" w:rsidRPr="00F26932" w14:paraId="3E556389" w14:textId="77777777" w:rsidTr="00F26932">
        <w:tc>
          <w:tcPr>
            <w:tcW w:w="9016" w:type="dxa"/>
            <w:tcBorders>
              <w:top w:val="single" w:sz="4" w:space="0" w:color="auto"/>
              <w:left w:val="single" w:sz="4" w:space="0" w:color="auto"/>
              <w:bottom w:val="single" w:sz="4" w:space="0" w:color="auto"/>
              <w:right w:val="single" w:sz="4" w:space="0" w:color="auto"/>
            </w:tcBorders>
          </w:tcPr>
          <w:p w14:paraId="70AB82E0" w14:textId="77777777" w:rsidR="00AA3B28" w:rsidRPr="00F26932" w:rsidRDefault="00AA3B28" w:rsidP="00AA3B28">
            <w:pPr>
              <w:pStyle w:val="Paragrafoelenco"/>
              <w:numPr>
                <w:ilvl w:val="0"/>
                <w:numId w:val="25"/>
              </w:numPr>
              <w:rPr>
                <w:bCs/>
                <w:sz w:val="22"/>
                <w:szCs w:val="22"/>
                <w:lang w:bidi="fr-FR"/>
              </w:rPr>
            </w:pPr>
            <w:r w:rsidRPr="00F26932">
              <w:rPr>
                <w:bCs/>
                <w:sz w:val="22"/>
                <w:szCs w:val="22"/>
                <w:lang w:bidi="fr-FR"/>
              </w:rPr>
              <w:t>Révision de la structure fonctionnelle de l’AJR afin d’éclaircir les attributions et d’optimiser la spécialisation en fonction des différents types de litiges (administratif, social, commercial, etc.).</w:t>
            </w:r>
          </w:p>
          <w:p w14:paraId="7EC8D10B" w14:textId="77777777" w:rsidR="00AA3B28" w:rsidRPr="00F26932" w:rsidRDefault="00AA3B28" w:rsidP="00AA3B28">
            <w:pPr>
              <w:pStyle w:val="Paragrafoelenco"/>
              <w:numPr>
                <w:ilvl w:val="0"/>
                <w:numId w:val="25"/>
              </w:numPr>
              <w:rPr>
                <w:bCs/>
                <w:sz w:val="22"/>
                <w:szCs w:val="22"/>
                <w:lang w:bidi="fr-FR"/>
              </w:rPr>
            </w:pPr>
            <w:r w:rsidRPr="00F26932">
              <w:rPr>
                <w:bCs/>
                <w:sz w:val="22"/>
                <w:szCs w:val="22"/>
                <w:lang w:bidi="fr-FR"/>
              </w:rPr>
              <w:t>Proposer un nouveau schéma organisationnel de l’Agence accompagné d’une note de cadrage stratégique officielle.</w:t>
            </w:r>
          </w:p>
          <w:p w14:paraId="790894FE" w14:textId="77777777" w:rsidR="00AA3B28" w:rsidRPr="00F26932" w:rsidRDefault="00AA3B28" w:rsidP="00AA3B28">
            <w:pPr>
              <w:pStyle w:val="Paragrafoelenco"/>
              <w:numPr>
                <w:ilvl w:val="0"/>
                <w:numId w:val="25"/>
              </w:numPr>
              <w:rPr>
                <w:bCs/>
                <w:sz w:val="22"/>
                <w:szCs w:val="22"/>
                <w:lang w:bidi="fr-FR"/>
              </w:rPr>
            </w:pPr>
            <w:r w:rsidRPr="00F26932">
              <w:rPr>
                <w:bCs/>
                <w:sz w:val="22"/>
                <w:szCs w:val="22"/>
                <w:lang w:bidi="fr-FR"/>
              </w:rPr>
              <w:t>Appui à la mise en place de bureaux régionaux pour décentraliser la gestion des litiges et renforcer la proximité de l’AJR avec les juridictions régionales et les citoyens.</w:t>
            </w:r>
          </w:p>
          <w:p w14:paraId="5948DA2B" w14:textId="77777777" w:rsidR="00AA3B28" w:rsidRPr="00F26932" w:rsidRDefault="00AA3B28" w:rsidP="00AA3B28">
            <w:pPr>
              <w:pStyle w:val="Paragrafoelenco"/>
              <w:numPr>
                <w:ilvl w:val="0"/>
                <w:numId w:val="25"/>
              </w:numPr>
              <w:rPr>
                <w:bCs/>
                <w:sz w:val="22"/>
                <w:szCs w:val="22"/>
                <w:lang w:bidi="fr-FR"/>
              </w:rPr>
            </w:pPr>
            <w:r w:rsidRPr="00F26932">
              <w:rPr>
                <w:bCs/>
                <w:sz w:val="22"/>
                <w:szCs w:val="22"/>
                <w:lang w:bidi="fr-FR"/>
              </w:rPr>
              <w:t>Développer de nouveaux mécanismes de coordination régionale (comme délégués régionaux ou représentation locale)</w:t>
            </w:r>
          </w:p>
          <w:p w14:paraId="6DA71820" w14:textId="313757E0" w:rsidR="00AA3B28" w:rsidRPr="00AA3B28" w:rsidRDefault="00AA3B28" w:rsidP="00AA3B28">
            <w:pPr>
              <w:pStyle w:val="Paragrafoelenco"/>
              <w:numPr>
                <w:ilvl w:val="0"/>
                <w:numId w:val="25"/>
              </w:numPr>
              <w:rPr>
                <w:bCs/>
                <w:sz w:val="22"/>
                <w:szCs w:val="22"/>
                <w:lang w:bidi="fr-FR"/>
              </w:rPr>
            </w:pPr>
            <w:r w:rsidRPr="00F26932">
              <w:rPr>
                <w:bCs/>
                <w:sz w:val="22"/>
                <w:szCs w:val="22"/>
                <w:lang w:bidi="fr-FR"/>
              </w:rPr>
              <w:t>Élaboration d’un système de gestion intégré (ERP juridique) afin de suivre en temps réel l’évolution des affaires juridiques.</w:t>
            </w:r>
          </w:p>
        </w:tc>
      </w:tr>
      <w:tr w:rsidR="00AA3B28" w:rsidRPr="00F26932" w14:paraId="6717677F" w14:textId="77777777" w:rsidTr="00F26932">
        <w:tc>
          <w:tcPr>
            <w:tcW w:w="9016" w:type="dxa"/>
            <w:tcBorders>
              <w:top w:val="single" w:sz="4" w:space="0" w:color="auto"/>
              <w:left w:val="single" w:sz="4" w:space="0" w:color="auto"/>
              <w:bottom w:val="single" w:sz="4" w:space="0" w:color="auto"/>
              <w:right w:val="single" w:sz="4" w:space="0" w:color="auto"/>
            </w:tcBorders>
          </w:tcPr>
          <w:p w14:paraId="3FEC4B74" w14:textId="74339872" w:rsidR="00AA3B28" w:rsidRPr="00F26932" w:rsidRDefault="00AA3B28">
            <w:pPr>
              <w:rPr>
                <w:b/>
                <w:bCs/>
                <w:sz w:val="22"/>
                <w:szCs w:val="22"/>
                <w:lang w:bidi="fr-FR"/>
              </w:rPr>
            </w:pPr>
            <w:r>
              <w:rPr>
                <w:b/>
                <w:bCs/>
                <w:sz w:val="22"/>
                <w:szCs w:val="22"/>
                <w:lang w:bidi="fr-FR"/>
              </w:rPr>
              <w:t>Volet n°2/</w:t>
            </w:r>
            <w:r w:rsidRPr="00F26932">
              <w:rPr>
                <w:b/>
                <w:bCs/>
                <w:sz w:val="22"/>
                <w:szCs w:val="22"/>
                <w:lang w:bidi="fr-FR"/>
              </w:rPr>
              <w:t>Résultat n°2.2</w:t>
            </w:r>
          </w:p>
        </w:tc>
      </w:tr>
      <w:tr w:rsidR="00F26932" w:rsidRPr="00F26932" w14:paraId="524C87A5" w14:textId="77777777" w:rsidTr="00F26932">
        <w:tc>
          <w:tcPr>
            <w:tcW w:w="9016" w:type="dxa"/>
            <w:tcBorders>
              <w:top w:val="single" w:sz="4" w:space="0" w:color="auto"/>
              <w:left w:val="single" w:sz="4" w:space="0" w:color="auto"/>
              <w:bottom w:val="single" w:sz="4" w:space="0" w:color="auto"/>
              <w:right w:val="single" w:sz="4" w:space="0" w:color="auto"/>
            </w:tcBorders>
          </w:tcPr>
          <w:p w14:paraId="4EF70487"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Appui à la création d’un comité stratégique pour la gestion des réformes litigieuses et la prévention des conflits.</w:t>
            </w:r>
          </w:p>
          <w:p w14:paraId="75757CF7"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Appui à l’élaboration d’une stratégie nationale de gestion du contentieux.</w:t>
            </w:r>
          </w:p>
          <w:p w14:paraId="37480C56"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Appui au développement d’un observatoire du contentieux de l’État.</w:t>
            </w:r>
          </w:p>
          <w:p w14:paraId="620E1BC7" w14:textId="77777777" w:rsidR="00F26932" w:rsidRPr="00F26932" w:rsidRDefault="00F26932" w:rsidP="00F26932">
            <w:pPr>
              <w:pStyle w:val="Paragrafoelenco"/>
              <w:numPr>
                <w:ilvl w:val="0"/>
                <w:numId w:val="25"/>
              </w:numPr>
              <w:rPr>
                <w:b/>
                <w:sz w:val="22"/>
                <w:szCs w:val="22"/>
                <w:lang w:bidi="fr-FR"/>
              </w:rPr>
            </w:pPr>
            <w:r w:rsidRPr="00F26932">
              <w:rPr>
                <w:bCs/>
                <w:sz w:val="22"/>
                <w:szCs w:val="22"/>
                <w:lang w:bidi="fr-FR"/>
              </w:rPr>
              <w:t>Renforcement de la coordination interinstitutionnelle.</w:t>
            </w:r>
          </w:p>
        </w:tc>
      </w:tr>
      <w:tr w:rsidR="00F26932" w:rsidRPr="00F26932" w14:paraId="6316684F" w14:textId="77777777" w:rsidTr="00F26932">
        <w:trPr>
          <w:trHeight w:val="234"/>
        </w:trPr>
        <w:tc>
          <w:tcPr>
            <w:tcW w:w="9016" w:type="dxa"/>
            <w:tcBorders>
              <w:top w:val="single" w:sz="4" w:space="0" w:color="auto"/>
              <w:left w:val="single" w:sz="4" w:space="0" w:color="auto"/>
              <w:bottom w:val="single" w:sz="4" w:space="0" w:color="auto"/>
              <w:right w:val="single" w:sz="4" w:space="0" w:color="auto"/>
            </w:tcBorders>
          </w:tcPr>
          <w:p w14:paraId="5CFCA36D" w14:textId="77777777" w:rsidR="00F26932" w:rsidRPr="00F26932" w:rsidRDefault="00F26932">
            <w:pPr>
              <w:rPr>
                <w:b/>
                <w:bCs/>
                <w:sz w:val="22"/>
                <w:szCs w:val="22"/>
                <w:lang w:bidi="fr-FR"/>
              </w:rPr>
            </w:pPr>
            <w:r w:rsidRPr="00F26932">
              <w:rPr>
                <w:b/>
                <w:bCs/>
                <w:sz w:val="22"/>
                <w:szCs w:val="22"/>
                <w:lang w:bidi="fr-FR"/>
              </w:rPr>
              <w:t>Volet n°3/Résultat n°3</w:t>
            </w:r>
          </w:p>
        </w:tc>
      </w:tr>
      <w:tr w:rsidR="00F26932" w:rsidRPr="00F26932" w14:paraId="348FC81A" w14:textId="77777777" w:rsidTr="00591E8B">
        <w:tc>
          <w:tcPr>
            <w:tcW w:w="9016" w:type="dxa"/>
            <w:tcBorders>
              <w:top w:val="single" w:sz="4" w:space="0" w:color="auto"/>
              <w:left w:val="single" w:sz="4" w:space="0" w:color="auto"/>
              <w:bottom w:val="single" w:sz="4" w:space="0" w:color="auto"/>
              <w:right w:val="single" w:sz="4" w:space="0" w:color="auto"/>
            </w:tcBorders>
          </w:tcPr>
          <w:p w14:paraId="6DAC8520" w14:textId="77777777" w:rsidR="00F26932" w:rsidRPr="00F26932" w:rsidRDefault="00F26932" w:rsidP="00F26932">
            <w:pPr>
              <w:pStyle w:val="Paragrafoelenco"/>
              <w:numPr>
                <w:ilvl w:val="0"/>
                <w:numId w:val="25"/>
              </w:numPr>
              <w:rPr>
                <w:bCs/>
                <w:sz w:val="22"/>
                <w:szCs w:val="22"/>
                <w:lang w:bidi="fr-FR"/>
              </w:rPr>
            </w:pPr>
            <w:r w:rsidRPr="00F26932">
              <w:rPr>
                <w:sz w:val="22"/>
                <w:szCs w:val="22"/>
                <w:lang w:bidi="fr-FR"/>
              </w:rPr>
              <w:t xml:space="preserve">Trois </w:t>
            </w:r>
            <w:r w:rsidRPr="00F26932">
              <w:rPr>
                <w:bCs/>
                <w:sz w:val="22"/>
                <w:szCs w:val="22"/>
                <w:lang w:bidi="fr-FR"/>
              </w:rPr>
              <w:t>modules de formation sont élaborés et réalisés sur les MARL, l’arbitrage et la gestion des différends dans les contrats publics.</w:t>
            </w:r>
          </w:p>
          <w:p w14:paraId="0E7C0215"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Au moins trois guides ou modèles types de contrats sont produits, incluant des clauses sur l’arbitrage, la force majeure et les immunités de juridiction.</w:t>
            </w:r>
          </w:p>
          <w:p w14:paraId="46689102" w14:textId="77777777" w:rsidR="00F26932" w:rsidRPr="00F26932" w:rsidRDefault="00F26932" w:rsidP="00F26932">
            <w:pPr>
              <w:pStyle w:val="Paragrafoelenco"/>
              <w:numPr>
                <w:ilvl w:val="0"/>
                <w:numId w:val="25"/>
              </w:numPr>
              <w:rPr>
                <w:sz w:val="22"/>
                <w:szCs w:val="22"/>
                <w:lang w:bidi="fr-FR"/>
              </w:rPr>
            </w:pPr>
            <w:r w:rsidRPr="00F26932">
              <w:rPr>
                <w:bCs/>
                <w:sz w:val="22"/>
                <w:szCs w:val="22"/>
                <w:lang w:bidi="fr-FR"/>
              </w:rPr>
              <w:t>Un minimum</w:t>
            </w:r>
            <w:r w:rsidRPr="00F26932">
              <w:rPr>
                <w:sz w:val="22"/>
                <w:szCs w:val="22"/>
                <w:lang w:bidi="fr-FR"/>
              </w:rPr>
              <w:t xml:space="preserve"> de 40 cadres juridiques et administratifs bénéficient d’une formation ciblée sur les bonnes pratiques contractuelles observées dans les États membres de l’UE.</w:t>
            </w:r>
          </w:p>
        </w:tc>
      </w:tr>
      <w:tr w:rsidR="00F26932" w:rsidRPr="00F26932" w14:paraId="100D6D74" w14:textId="77777777" w:rsidTr="00591E8B">
        <w:tc>
          <w:tcPr>
            <w:tcW w:w="9016" w:type="dxa"/>
            <w:tcBorders>
              <w:top w:val="single" w:sz="4" w:space="0" w:color="auto"/>
              <w:left w:val="single" w:sz="4" w:space="0" w:color="auto"/>
              <w:bottom w:val="single" w:sz="4" w:space="0" w:color="auto"/>
              <w:right w:val="single" w:sz="4" w:space="0" w:color="auto"/>
            </w:tcBorders>
          </w:tcPr>
          <w:p w14:paraId="0AFC6723" w14:textId="77777777" w:rsidR="00F26932" w:rsidRPr="00F26932" w:rsidRDefault="00F26932">
            <w:pPr>
              <w:rPr>
                <w:b/>
                <w:bCs/>
                <w:sz w:val="22"/>
                <w:szCs w:val="22"/>
                <w:lang w:bidi="fr-FR"/>
              </w:rPr>
            </w:pPr>
            <w:r w:rsidRPr="00F26932">
              <w:rPr>
                <w:b/>
                <w:bCs/>
                <w:sz w:val="22"/>
                <w:szCs w:val="22"/>
                <w:lang w:bidi="fr-FR"/>
              </w:rPr>
              <w:t>Volet n°4/Résultat n°4</w:t>
            </w:r>
          </w:p>
        </w:tc>
      </w:tr>
      <w:tr w:rsidR="00F26932" w:rsidRPr="00F26932" w14:paraId="46630842" w14:textId="77777777" w:rsidTr="00591E8B">
        <w:tc>
          <w:tcPr>
            <w:tcW w:w="9016" w:type="dxa"/>
            <w:tcBorders>
              <w:top w:val="single" w:sz="4" w:space="0" w:color="auto"/>
              <w:left w:val="single" w:sz="4" w:space="0" w:color="auto"/>
              <w:bottom w:val="single" w:sz="4" w:space="0" w:color="auto"/>
              <w:right w:val="single" w:sz="4" w:space="0" w:color="auto"/>
            </w:tcBorders>
          </w:tcPr>
          <w:p w14:paraId="6E2CB668" w14:textId="77777777" w:rsidR="00F26932" w:rsidRPr="00F26932" w:rsidRDefault="00F26932" w:rsidP="00F26932">
            <w:pPr>
              <w:pStyle w:val="Paragrafoelenco"/>
              <w:numPr>
                <w:ilvl w:val="0"/>
                <w:numId w:val="25"/>
              </w:numPr>
              <w:rPr>
                <w:bCs/>
                <w:sz w:val="22"/>
                <w:szCs w:val="22"/>
                <w:lang w:bidi="fr-FR"/>
              </w:rPr>
            </w:pPr>
            <w:r w:rsidRPr="00F26932">
              <w:rPr>
                <w:sz w:val="22"/>
                <w:szCs w:val="22"/>
                <w:lang w:bidi="fr-FR"/>
              </w:rPr>
              <w:t xml:space="preserve">Un plan </w:t>
            </w:r>
            <w:r w:rsidRPr="00F26932">
              <w:rPr>
                <w:bCs/>
                <w:sz w:val="22"/>
                <w:szCs w:val="22"/>
                <w:lang w:bidi="fr-FR"/>
              </w:rPr>
              <w:t>global de formation continue est élaboré sur la base d’un diagnostic des besoins et validé par l’encadrement supérieur de l’Agence.</w:t>
            </w:r>
          </w:p>
          <w:p w14:paraId="445EA79F"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Trois modules de formation sont dispensés avec support numérique, intégrant les apports de la mission d’étude et les recommandations du benchmarking européen.</w:t>
            </w:r>
          </w:p>
          <w:p w14:paraId="7E5151B4"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Appui à l'établissement d'une base de données nationale sur les litiges de l'État, ouverte aux administrations impliquées.</w:t>
            </w:r>
          </w:p>
          <w:p w14:paraId="10B86985"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Assistance pour l'implémentation d'une plateforme digitale de gestion, suivi et archivage des dossiers (type SIGEC - Système Intégré de Gestion du Contentieux).</w:t>
            </w:r>
          </w:p>
          <w:p w14:paraId="0DB4C200"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Accroître l'usage de l'intelligence artificielle juridique pour examiner les tendances litigieuses et repérer les foyers de conflits récurrents.</w:t>
            </w:r>
          </w:p>
          <w:p w14:paraId="6A8333B1" w14:textId="77777777" w:rsidR="00F26932" w:rsidRPr="00F26932" w:rsidRDefault="00F26932" w:rsidP="00F26932">
            <w:pPr>
              <w:pStyle w:val="Paragrafoelenco"/>
              <w:numPr>
                <w:ilvl w:val="0"/>
                <w:numId w:val="25"/>
              </w:numPr>
              <w:rPr>
                <w:sz w:val="22"/>
                <w:szCs w:val="22"/>
                <w:lang w:bidi="fr-FR"/>
              </w:rPr>
            </w:pPr>
            <w:r w:rsidRPr="00F26932">
              <w:rPr>
                <w:bCs/>
                <w:sz w:val="22"/>
                <w:szCs w:val="22"/>
                <w:lang w:bidi="fr-FR"/>
              </w:rPr>
              <w:t>Création d'un tableau de bord de performance comprenant des indicateurs tels que le taux de succès judiciaire, la durée moyenne de traitement</w:t>
            </w:r>
            <w:r w:rsidRPr="00F26932">
              <w:rPr>
                <w:sz w:val="22"/>
                <w:szCs w:val="22"/>
                <w:lang w:bidi="fr-FR"/>
              </w:rPr>
              <w:t xml:space="preserve"> et le coût des litiges, entre autres.</w:t>
            </w:r>
          </w:p>
        </w:tc>
      </w:tr>
      <w:tr w:rsidR="00F26932" w:rsidRPr="00F26932" w14:paraId="2B906FD0" w14:textId="77777777" w:rsidTr="00591E8B">
        <w:tc>
          <w:tcPr>
            <w:tcW w:w="9016" w:type="dxa"/>
            <w:tcBorders>
              <w:top w:val="single" w:sz="4" w:space="0" w:color="auto"/>
              <w:left w:val="single" w:sz="4" w:space="0" w:color="auto"/>
              <w:bottom w:val="single" w:sz="4" w:space="0" w:color="auto"/>
              <w:right w:val="single" w:sz="4" w:space="0" w:color="auto"/>
            </w:tcBorders>
          </w:tcPr>
          <w:p w14:paraId="6040A896" w14:textId="77777777" w:rsidR="00F26932" w:rsidRPr="00F26932" w:rsidRDefault="00F26932" w:rsidP="00F26932">
            <w:pPr>
              <w:rPr>
                <w:b/>
                <w:bCs/>
                <w:sz w:val="22"/>
                <w:szCs w:val="22"/>
                <w:lang w:bidi="fr-FR"/>
              </w:rPr>
            </w:pPr>
            <w:r w:rsidRPr="00F26932">
              <w:rPr>
                <w:b/>
                <w:bCs/>
                <w:sz w:val="22"/>
                <w:szCs w:val="22"/>
                <w:lang w:bidi="fr-FR"/>
              </w:rPr>
              <w:t>Volet n°5/Résultat n°5</w:t>
            </w:r>
          </w:p>
        </w:tc>
      </w:tr>
      <w:tr w:rsidR="00F26932" w:rsidRPr="00F26932" w14:paraId="3A108DDD" w14:textId="77777777" w:rsidTr="00591E8B">
        <w:tc>
          <w:tcPr>
            <w:tcW w:w="9016" w:type="dxa"/>
            <w:tcBorders>
              <w:top w:val="single" w:sz="4" w:space="0" w:color="auto"/>
              <w:left w:val="single" w:sz="4" w:space="0" w:color="auto"/>
              <w:bottom w:val="single" w:sz="4" w:space="0" w:color="auto"/>
              <w:right w:val="single" w:sz="4" w:space="0" w:color="auto"/>
            </w:tcBorders>
          </w:tcPr>
          <w:p w14:paraId="5F1E58ED" w14:textId="77777777" w:rsidR="00F26932" w:rsidRPr="00F26932" w:rsidRDefault="00F26932" w:rsidP="00F26932">
            <w:pPr>
              <w:pStyle w:val="Paragrafoelenco"/>
              <w:numPr>
                <w:ilvl w:val="0"/>
                <w:numId w:val="25"/>
              </w:numPr>
              <w:rPr>
                <w:bCs/>
                <w:sz w:val="22"/>
                <w:szCs w:val="22"/>
                <w:lang w:bidi="fr-FR"/>
              </w:rPr>
            </w:pPr>
            <w:r w:rsidRPr="00F26932">
              <w:rPr>
                <w:sz w:val="22"/>
                <w:szCs w:val="22"/>
                <w:lang w:bidi="fr-FR"/>
              </w:rPr>
              <w:t xml:space="preserve">Une plateforme </w:t>
            </w:r>
            <w:r w:rsidRPr="00F26932">
              <w:rPr>
                <w:bCs/>
                <w:sz w:val="22"/>
                <w:szCs w:val="22"/>
                <w:lang w:bidi="fr-FR"/>
              </w:rPr>
              <w:t>digitale citoyenne d’information et de dialogue est mise en ligne, avec suivi des taux d’interaction et d’utilisation mesurés trimestriellement.</w:t>
            </w:r>
          </w:p>
          <w:p w14:paraId="2A465830"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Favoriser l'accès à des services d'aide juridique pour soutenir les citoyens dans leurs procédures contre l'administration.</w:t>
            </w:r>
          </w:p>
          <w:p w14:paraId="67B1E5FA"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 xml:space="preserve">Établir des systèmes efficaces permettant aux citoyens de rapporter les abus ou les problèmes liés à la gestion de leur dossier par l'AJR. </w:t>
            </w:r>
          </w:p>
          <w:p w14:paraId="2ED09F08"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Améliorer les échanges entre l'AJR, les autres institutions publiques et les citoyens pour assurer un traitement rapide et juste des dossiers, ainsi que la publication régulière des rapports concernant l'état des litiges de l'État, dans le but de favoriser la transparence et la responsabilité.</w:t>
            </w:r>
          </w:p>
          <w:p w14:paraId="1471CF60"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Accroître l'importance du conseil juridique au sein des administrations pour réduire les erreurs à l'origine de litiges.</w:t>
            </w:r>
          </w:p>
          <w:p w14:paraId="6D2D44B4"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Élaboration d'une base de référence nationale sur la jurisprudence relative au contentieux public pour orienter les administrations et les tribunaux.</w:t>
            </w:r>
          </w:p>
          <w:p w14:paraId="7CB19B62" w14:textId="77777777" w:rsidR="00F26932" w:rsidRPr="00F26932" w:rsidRDefault="00F26932" w:rsidP="00F26932">
            <w:pPr>
              <w:pStyle w:val="Paragrafoelenco"/>
              <w:numPr>
                <w:ilvl w:val="0"/>
                <w:numId w:val="25"/>
              </w:numPr>
              <w:rPr>
                <w:bCs/>
                <w:sz w:val="22"/>
                <w:szCs w:val="22"/>
                <w:lang w:bidi="fr-FR"/>
              </w:rPr>
            </w:pPr>
            <w:r w:rsidRPr="00F26932">
              <w:rPr>
                <w:bCs/>
                <w:sz w:val="22"/>
                <w:szCs w:val="22"/>
                <w:lang w:bidi="fr-FR"/>
              </w:rPr>
              <w:t>Mise en place d'un point de renseignements et d'orientation juridique pour les citoyens confrontés à un conflit avec l'État.</w:t>
            </w:r>
          </w:p>
          <w:p w14:paraId="44A2F151" w14:textId="77777777" w:rsidR="00F26932" w:rsidRPr="00F26932" w:rsidRDefault="00F26932" w:rsidP="00F26932">
            <w:pPr>
              <w:pStyle w:val="Paragrafoelenco"/>
              <w:numPr>
                <w:ilvl w:val="0"/>
                <w:numId w:val="25"/>
              </w:numPr>
              <w:rPr>
                <w:sz w:val="22"/>
                <w:szCs w:val="22"/>
                <w:lang w:bidi="fr-FR"/>
              </w:rPr>
            </w:pPr>
            <w:r w:rsidRPr="00F26932">
              <w:rPr>
                <w:bCs/>
                <w:sz w:val="22"/>
                <w:szCs w:val="22"/>
                <w:lang w:bidi="fr-FR"/>
              </w:rPr>
              <w:t>Création d'un dépa</w:t>
            </w:r>
            <w:r w:rsidRPr="00F26932">
              <w:rPr>
                <w:sz w:val="22"/>
                <w:szCs w:val="22"/>
                <w:lang w:bidi="fr-FR"/>
              </w:rPr>
              <w:t>rtement de médiation administrative au sein de l'AJR pour gérer les plaintes avant qu'elles ne conduisent à un litige.</w:t>
            </w:r>
          </w:p>
        </w:tc>
      </w:tr>
    </w:tbl>
    <w:p w14:paraId="281F1E2B" w14:textId="77777777" w:rsidR="00737C80" w:rsidRPr="00EA2174" w:rsidRDefault="002E7DEE" w:rsidP="00AD1F84">
      <w:pPr>
        <w:pStyle w:val="Titolo1"/>
        <w:numPr>
          <w:ilvl w:val="0"/>
          <w:numId w:val="1"/>
        </w:numPr>
        <w:pBdr>
          <w:bottom w:val="single" w:sz="4" w:space="1" w:color="auto"/>
        </w:pBdr>
      </w:pPr>
      <w:bookmarkStart w:id="65" w:name="_Toc200114705"/>
      <w:r w:rsidRPr="00EA2174">
        <w:t>Infrastructures disponibles</w:t>
      </w:r>
      <w:bookmarkEnd w:id="65"/>
    </w:p>
    <w:p w14:paraId="4CD52B04" w14:textId="77777777" w:rsidR="00737C80" w:rsidRPr="00EA2174" w:rsidRDefault="002E7DEE">
      <w:pPr>
        <w:spacing w:before="120" w:after="120"/>
        <w:jc w:val="both"/>
      </w:pPr>
      <w:r w:rsidRPr="00EA2174">
        <w:t>Le bénéficiaire mettra à la disposition du</w:t>
      </w:r>
      <w:r w:rsidR="007A7709" w:rsidRPr="00EA2174">
        <w:t>/de la</w:t>
      </w:r>
      <w:r w:rsidRPr="00EA2174">
        <w:t xml:space="preserve"> Conseiller</w:t>
      </w:r>
      <w:r w:rsidR="007A7709" w:rsidRPr="00EA2174">
        <w:t>(e)</w:t>
      </w:r>
      <w:r w:rsidRPr="00EA2174">
        <w:t xml:space="preserve"> Résident</w:t>
      </w:r>
      <w:r w:rsidR="007A7709" w:rsidRPr="00EA2174">
        <w:t>(e)</w:t>
      </w:r>
      <w:r w:rsidRPr="00EA2174">
        <w:t xml:space="preserve"> </w:t>
      </w:r>
      <w:r w:rsidR="007A7709" w:rsidRPr="00EA2174">
        <w:t xml:space="preserve">de </w:t>
      </w:r>
      <w:r w:rsidRPr="00EA2174">
        <w:t>Jumelage et de son assistant (e) un bureau à proximité de celui de l’homologue principal, équipé avec PC, téléphone (avec en particulier une ligne internationale plafonnée), télécopieur et accès à l’internet. Ce bureau sera également mis à la disposition des experts court-terme en mission.  Il</w:t>
      </w:r>
      <w:r w:rsidR="007A7709" w:rsidRPr="00EA2174">
        <w:t>/Elle</w:t>
      </w:r>
      <w:r w:rsidRPr="00EA2174">
        <w:t xml:space="preserve"> pourra en outre disposer d'une salle de réunion et d'espaces pour organiser des formations avec tout l'équipement adéquat.</w:t>
      </w:r>
    </w:p>
    <w:p w14:paraId="28E018AA" w14:textId="77777777" w:rsidR="00737C80" w:rsidRPr="00EA2174" w:rsidRDefault="002E7DEE">
      <w:pPr>
        <w:spacing w:before="240" w:after="240"/>
        <w:jc w:val="both"/>
      </w:pPr>
      <w:r w:rsidRPr="00EA2174">
        <w:t>L'organisation des séminaires et des formations et la logistique s’y rapportant (salles de séminaire, matériel audiovisuel, photocopies et fournitures de bureau et autre frais annexes (photocopies, transports, etc.), frais de bouche et logements/per</w:t>
      </w:r>
      <w:r w:rsidR="00AD1F84">
        <w:t xml:space="preserve"> </w:t>
      </w:r>
      <w:r w:rsidRPr="00EA2174">
        <w:t xml:space="preserve">diems pour ceux qui viennent des régions éloignées seront pris en charge par le bénéficiaire. </w:t>
      </w:r>
    </w:p>
    <w:p w14:paraId="381EEDED" w14:textId="77777777" w:rsidR="007B2EB0" w:rsidRPr="00EA2174" w:rsidRDefault="007B2EB0">
      <w:pPr>
        <w:spacing w:before="240" w:after="240"/>
        <w:jc w:val="both"/>
        <w:rPr>
          <w:sz w:val="4"/>
        </w:rPr>
      </w:pPr>
    </w:p>
    <w:p w14:paraId="159A7178" w14:textId="77777777" w:rsidR="00737C80" w:rsidRPr="00EA2174" w:rsidRDefault="002E7DEE" w:rsidP="007B2EB0">
      <w:pPr>
        <w:pStyle w:val="Titolo1"/>
        <w:numPr>
          <w:ilvl w:val="0"/>
          <w:numId w:val="1"/>
        </w:numPr>
        <w:pBdr>
          <w:bottom w:val="single" w:sz="4" w:space="1" w:color="auto"/>
        </w:pBdr>
        <w:spacing w:after="360"/>
        <w:ind w:left="431" w:hanging="431"/>
      </w:pPr>
      <w:bookmarkStart w:id="66" w:name="_Toc200114706"/>
      <w:r w:rsidRPr="00EA2174">
        <w:t>Annexes</w:t>
      </w:r>
      <w:bookmarkEnd w:id="66"/>
      <w:r w:rsidRPr="00EA2174">
        <w:t xml:space="preserve"> </w:t>
      </w:r>
    </w:p>
    <w:p w14:paraId="60FFD04C" w14:textId="77777777" w:rsidR="002D02CA" w:rsidRPr="00EA2174" w:rsidRDefault="002D02CA" w:rsidP="009255E4">
      <w:pPr>
        <w:numPr>
          <w:ilvl w:val="0"/>
          <w:numId w:val="2"/>
        </w:numPr>
        <w:tabs>
          <w:tab w:val="left" w:pos="0"/>
        </w:tabs>
        <w:ind w:left="703" w:hanging="703"/>
        <w:jc w:val="both"/>
      </w:pPr>
      <w:r w:rsidRPr="00EA2174">
        <w:t>Matrice du cadre logique</w:t>
      </w:r>
      <w:r w:rsidR="001D7A96" w:rsidRPr="00EA2174">
        <w:t>.</w:t>
      </w:r>
    </w:p>
    <w:p w14:paraId="50E6ED4B" w14:textId="77777777" w:rsidR="001D7A96" w:rsidRPr="00EA2174" w:rsidRDefault="002E7DEE" w:rsidP="009255E4">
      <w:pPr>
        <w:numPr>
          <w:ilvl w:val="0"/>
          <w:numId w:val="2"/>
        </w:numPr>
        <w:tabs>
          <w:tab w:val="left" w:pos="0"/>
        </w:tabs>
        <w:ind w:left="703" w:hanging="703"/>
        <w:sectPr w:rsidR="001D7A96" w:rsidRPr="00EA2174">
          <w:headerReference w:type="default" r:id="rId15"/>
          <w:footerReference w:type="even" r:id="rId16"/>
          <w:footerReference w:type="default" r:id="rId17"/>
          <w:pgSz w:w="11907" w:h="16840"/>
          <w:pgMar w:top="142" w:right="1417" w:bottom="851" w:left="1418" w:header="680" w:footer="680" w:gutter="0"/>
          <w:cols w:space="720"/>
        </w:sectPr>
      </w:pPr>
      <w:r w:rsidRPr="00EA2174">
        <w:t>Textes juridiques applicables</w:t>
      </w:r>
      <w:r w:rsidR="001D7A96" w:rsidRPr="00EA2174">
        <w:t>.</w:t>
      </w:r>
    </w:p>
    <w:p w14:paraId="462A2F7C" w14:textId="77777777" w:rsidR="001D7A96" w:rsidRPr="00EA2174" w:rsidRDefault="002D02CA" w:rsidP="00AE62D2">
      <w:pPr>
        <w:pStyle w:val="Titolo2"/>
        <w:ind w:left="576" w:firstLine="0"/>
        <w:jc w:val="center"/>
      </w:pPr>
      <w:bookmarkStart w:id="67" w:name="_Toc200114707"/>
      <w:r w:rsidRPr="00EA2174">
        <w:t>Annexe 1 - Matrice du cadre logiqu</w:t>
      </w:r>
      <w:r w:rsidR="00AB33A1" w:rsidRPr="00EA2174">
        <w:t>e</w:t>
      </w:r>
      <w:bookmarkEnd w:id="67"/>
      <w:r w:rsidR="00585784" w:rsidRPr="00EA2174">
        <w:t xml:space="preserve"> </w:t>
      </w:r>
    </w:p>
    <w:p w14:paraId="5B6C8EB3" w14:textId="77777777" w:rsidR="002625E5" w:rsidRPr="00EA2174" w:rsidRDefault="002625E5" w:rsidP="002625E5"/>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44"/>
        <w:gridCol w:w="4110"/>
        <w:gridCol w:w="3119"/>
        <w:gridCol w:w="1984"/>
        <w:gridCol w:w="2127"/>
      </w:tblGrid>
      <w:tr w:rsidR="002625E5" w:rsidRPr="0054502F" w14:paraId="65D87B9D" w14:textId="77777777" w:rsidTr="006629D9">
        <w:trPr>
          <w:cantSplit/>
          <w:tblHeader/>
        </w:trPr>
        <w:tc>
          <w:tcPr>
            <w:tcW w:w="710" w:type="dxa"/>
            <w:tcBorders>
              <w:bottom w:val="single" w:sz="4" w:space="0" w:color="auto"/>
            </w:tcBorders>
            <w:shd w:val="clear" w:color="auto" w:fill="BFBFBF"/>
          </w:tcPr>
          <w:p w14:paraId="6EAB3D05" w14:textId="77777777" w:rsidR="002625E5" w:rsidRPr="0054502F" w:rsidRDefault="002625E5" w:rsidP="00BA1C19">
            <w:pPr>
              <w:rPr>
                <w:rFonts w:asciiTheme="majorBidi" w:hAnsiTheme="majorBidi" w:cstheme="majorBidi"/>
                <w:i/>
                <w:sz w:val="18"/>
                <w:szCs w:val="18"/>
                <w:lang w:bidi="fr-FR"/>
              </w:rPr>
            </w:pPr>
          </w:p>
        </w:tc>
        <w:tc>
          <w:tcPr>
            <w:tcW w:w="3544" w:type="dxa"/>
            <w:tcBorders>
              <w:bottom w:val="single" w:sz="4" w:space="0" w:color="auto"/>
            </w:tcBorders>
            <w:shd w:val="clear" w:color="auto" w:fill="BFBFBF"/>
          </w:tcPr>
          <w:p w14:paraId="3A50DA69" w14:textId="77777777" w:rsidR="002625E5" w:rsidRPr="0054502F" w:rsidRDefault="002625E5" w:rsidP="00BA1C19">
            <w:pPr>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Chaîne de résultats</w:t>
            </w:r>
          </w:p>
        </w:tc>
        <w:tc>
          <w:tcPr>
            <w:tcW w:w="4110" w:type="dxa"/>
            <w:tcBorders>
              <w:bottom w:val="single" w:sz="4" w:space="0" w:color="auto"/>
            </w:tcBorders>
            <w:shd w:val="clear" w:color="auto" w:fill="BFBFBF"/>
          </w:tcPr>
          <w:p w14:paraId="4AD7AFB5" w14:textId="77777777" w:rsidR="002625E5" w:rsidRPr="0054502F" w:rsidRDefault="002625E5" w:rsidP="00BA1C19">
            <w:pPr>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Indicateur</w:t>
            </w:r>
          </w:p>
          <w:p w14:paraId="4F7C8A1F" w14:textId="77777777" w:rsidR="002625E5" w:rsidRPr="0054502F" w:rsidRDefault="002625E5" w:rsidP="00BA1C19">
            <w:pPr>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(définition)</w:t>
            </w:r>
          </w:p>
        </w:tc>
        <w:tc>
          <w:tcPr>
            <w:tcW w:w="3119" w:type="dxa"/>
            <w:tcBorders>
              <w:bottom w:val="single" w:sz="4" w:space="0" w:color="auto"/>
            </w:tcBorders>
            <w:shd w:val="clear" w:color="auto" w:fill="BFBFBF"/>
          </w:tcPr>
          <w:p w14:paraId="77CB9928" w14:textId="77777777" w:rsidR="002625E5" w:rsidRPr="0054502F" w:rsidRDefault="002625E5" w:rsidP="00BA1C19">
            <w:pPr>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Source et moyen de vérification</w:t>
            </w:r>
          </w:p>
        </w:tc>
        <w:tc>
          <w:tcPr>
            <w:tcW w:w="1984" w:type="dxa"/>
            <w:tcBorders>
              <w:bottom w:val="single" w:sz="4" w:space="0" w:color="auto"/>
            </w:tcBorders>
            <w:shd w:val="clear" w:color="auto" w:fill="BFBFBF"/>
          </w:tcPr>
          <w:p w14:paraId="58BF81D3" w14:textId="77777777" w:rsidR="002625E5" w:rsidRPr="0054502F" w:rsidRDefault="002625E5" w:rsidP="00BA1C19">
            <w:pPr>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Hypothèses</w:t>
            </w:r>
          </w:p>
        </w:tc>
        <w:tc>
          <w:tcPr>
            <w:tcW w:w="2127" w:type="dxa"/>
            <w:tcBorders>
              <w:bottom w:val="single" w:sz="4" w:space="0" w:color="auto"/>
            </w:tcBorders>
            <w:shd w:val="clear" w:color="auto" w:fill="BFBFBF"/>
          </w:tcPr>
          <w:p w14:paraId="45E463E1" w14:textId="77777777" w:rsidR="002625E5" w:rsidRPr="0054502F" w:rsidRDefault="002625E5" w:rsidP="00BA1C19">
            <w:pPr>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Risques</w:t>
            </w:r>
          </w:p>
        </w:tc>
      </w:tr>
      <w:tr w:rsidR="002625E5" w:rsidRPr="0054502F" w14:paraId="4A73F388" w14:textId="77777777" w:rsidTr="00864859">
        <w:trPr>
          <w:trHeight w:val="1588"/>
        </w:trPr>
        <w:tc>
          <w:tcPr>
            <w:tcW w:w="710" w:type="dxa"/>
            <w:shd w:val="clear" w:color="auto" w:fill="EEECE1" w:themeFill="background2"/>
            <w:textDirection w:val="btLr"/>
          </w:tcPr>
          <w:p w14:paraId="3D0B1DD0" w14:textId="77777777" w:rsidR="002625E5" w:rsidRPr="0054502F" w:rsidRDefault="002625E5" w:rsidP="002342E6">
            <w:pPr>
              <w:tabs>
                <w:tab w:val="left" w:pos="0"/>
                <w:tab w:val="left" w:pos="132"/>
              </w:tabs>
              <w:ind w:left="113" w:right="113"/>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Impct</w:t>
            </w:r>
          </w:p>
          <w:p w14:paraId="6E837DFD" w14:textId="77777777" w:rsidR="002625E5" w:rsidRPr="0054502F" w:rsidRDefault="002625E5" w:rsidP="00BA1C19">
            <w:pPr>
              <w:tabs>
                <w:tab w:val="left" w:pos="0"/>
                <w:tab w:val="left" w:pos="132"/>
              </w:tabs>
              <w:ind w:left="113" w:right="113"/>
              <w:jc w:val="center"/>
              <w:rPr>
                <w:rFonts w:asciiTheme="majorBidi" w:hAnsiTheme="majorBidi" w:cstheme="majorBidi"/>
                <w:i/>
                <w:sz w:val="18"/>
                <w:szCs w:val="18"/>
                <w:lang w:bidi="fr-FR"/>
              </w:rPr>
            </w:pPr>
            <w:r w:rsidRPr="0054502F">
              <w:rPr>
                <w:rFonts w:asciiTheme="majorBidi" w:hAnsiTheme="majorBidi" w:cstheme="majorBidi"/>
                <w:i/>
                <w:sz w:val="18"/>
                <w:szCs w:val="18"/>
                <w:lang w:bidi="fr-FR"/>
              </w:rPr>
              <w:t>(objectif général)</w:t>
            </w:r>
          </w:p>
        </w:tc>
        <w:tc>
          <w:tcPr>
            <w:tcW w:w="3544" w:type="dxa"/>
          </w:tcPr>
          <w:p w14:paraId="4585536A" w14:textId="77777777" w:rsidR="002625E5" w:rsidRPr="0054502F" w:rsidRDefault="002342E6" w:rsidP="002342E6">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Renforcer l'accès à la justice, la bonne gouvernance de l’administration, la protection des droits fondamentaux et de la confiance des citoyens dans l’État de droit.</w:t>
            </w:r>
          </w:p>
        </w:tc>
        <w:tc>
          <w:tcPr>
            <w:tcW w:w="4110" w:type="dxa"/>
          </w:tcPr>
          <w:p w14:paraId="26DDD0C4" w14:textId="77777777" w:rsidR="007D1CCA" w:rsidRPr="000B156D" w:rsidRDefault="009C1C26"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Délai moyen de traitement des affaires</w:t>
            </w:r>
          </w:p>
          <w:p w14:paraId="269EBF14" w14:textId="77777777" w:rsidR="009C1C26" w:rsidRPr="000B156D" w:rsidRDefault="009C1C26"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Taux de satisfaction des usagers</w:t>
            </w:r>
          </w:p>
          <w:p w14:paraId="33152DDF" w14:textId="77777777" w:rsidR="009C1C26" w:rsidRPr="000B156D" w:rsidRDefault="009C1C26"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Taux de numérisation des procédures judiciaires</w:t>
            </w:r>
          </w:p>
          <w:p w14:paraId="4E8D820D" w14:textId="77777777" w:rsidR="000B156D" w:rsidRPr="0054502F" w:rsidRDefault="000B156D" w:rsidP="000B156D">
            <w:pPr>
              <w:autoSpaceDE w:val="0"/>
              <w:autoSpaceDN w:val="0"/>
              <w:adjustRightInd w:val="0"/>
              <w:jc w:val="both"/>
              <w:rPr>
                <w:rFonts w:asciiTheme="majorBidi" w:hAnsiTheme="majorBidi" w:cstheme="majorBidi"/>
                <w:iCs/>
                <w:sz w:val="18"/>
                <w:szCs w:val="18"/>
                <w:lang w:bidi="fr-FR"/>
              </w:rPr>
            </w:pPr>
            <w:r w:rsidRPr="000B156D">
              <w:rPr>
                <w:rFonts w:asciiTheme="majorBidi" w:hAnsiTheme="majorBidi" w:cstheme="majorBidi"/>
                <w:i/>
                <w:sz w:val="18"/>
                <w:szCs w:val="18"/>
                <w:lang w:bidi="fr-FR"/>
              </w:rPr>
              <w:t>Taux d'utilisation des services en ligne par les citoyens</w:t>
            </w:r>
          </w:p>
        </w:tc>
        <w:tc>
          <w:tcPr>
            <w:tcW w:w="3119" w:type="dxa"/>
          </w:tcPr>
          <w:p w14:paraId="25C315D9" w14:textId="77777777" w:rsidR="00BA1C19" w:rsidRDefault="0054502F" w:rsidP="0054502F">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Document de positionnement Maroc</w:t>
            </w:r>
          </w:p>
          <w:p w14:paraId="4829F99A" w14:textId="77777777" w:rsidR="000B156D" w:rsidRDefault="000B156D" w:rsidP="0054502F">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Rapport d’activités</w:t>
            </w:r>
          </w:p>
          <w:p w14:paraId="0D5965A3" w14:textId="77777777" w:rsidR="000B156D" w:rsidRPr="0054502F" w:rsidRDefault="000B156D" w:rsidP="0054502F">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Statistiques judicaires</w:t>
            </w:r>
          </w:p>
        </w:tc>
        <w:tc>
          <w:tcPr>
            <w:tcW w:w="1984" w:type="dxa"/>
            <w:shd w:val="clear" w:color="auto" w:fill="FFFFFF" w:themeFill="background1"/>
            <w:vAlign w:val="center"/>
          </w:tcPr>
          <w:p w14:paraId="399CC5C7" w14:textId="77777777" w:rsidR="00BA1C19" w:rsidRPr="0054502F" w:rsidRDefault="00864859" w:rsidP="00BA1C19">
            <w:pPr>
              <w:spacing w:after="240"/>
              <w:jc w:val="center"/>
              <w:rPr>
                <w:rFonts w:asciiTheme="majorBidi" w:hAnsiTheme="majorBidi" w:cstheme="majorBidi"/>
                <w:iCs/>
                <w:sz w:val="18"/>
                <w:szCs w:val="18"/>
                <w:lang w:bidi="fr-FR"/>
              </w:rPr>
            </w:pPr>
            <w:r>
              <w:rPr>
                <w:rFonts w:asciiTheme="majorBidi" w:hAnsiTheme="majorBidi" w:cstheme="majorBidi"/>
                <w:iCs/>
                <w:sz w:val="18"/>
                <w:szCs w:val="18"/>
                <w:lang w:bidi="fr-FR"/>
              </w:rPr>
              <w:t>-</w:t>
            </w:r>
          </w:p>
        </w:tc>
        <w:tc>
          <w:tcPr>
            <w:tcW w:w="2127" w:type="dxa"/>
            <w:shd w:val="clear" w:color="auto" w:fill="FFFFFF" w:themeFill="background1"/>
          </w:tcPr>
          <w:p w14:paraId="4E5C3989" w14:textId="77777777" w:rsidR="0054502F" w:rsidRPr="0054502F" w:rsidRDefault="0054502F" w:rsidP="005261DD">
            <w:pPr>
              <w:autoSpaceDE w:val="0"/>
              <w:autoSpaceDN w:val="0"/>
              <w:adjustRightInd w:val="0"/>
              <w:rPr>
                <w:rFonts w:asciiTheme="majorBidi" w:hAnsiTheme="majorBidi" w:cstheme="majorBidi"/>
                <w:i/>
                <w:sz w:val="18"/>
                <w:szCs w:val="18"/>
                <w:lang w:bidi="fr-FR"/>
              </w:rPr>
            </w:pPr>
            <w:r w:rsidRPr="0054502F">
              <w:rPr>
                <w:rFonts w:asciiTheme="majorBidi" w:hAnsiTheme="majorBidi" w:cstheme="majorBidi"/>
                <w:i/>
                <w:sz w:val="18"/>
                <w:szCs w:val="18"/>
                <w:lang w:bidi="fr-FR"/>
              </w:rPr>
              <w:t>- force majeur (exp. Covid-19)</w:t>
            </w:r>
          </w:p>
          <w:p w14:paraId="4318193B" w14:textId="77777777" w:rsidR="0054502F" w:rsidRPr="0054502F" w:rsidRDefault="0054502F" w:rsidP="005261DD">
            <w:pPr>
              <w:autoSpaceDE w:val="0"/>
              <w:autoSpaceDN w:val="0"/>
              <w:adjustRightInd w:val="0"/>
              <w:rPr>
                <w:rFonts w:asciiTheme="majorBidi" w:hAnsiTheme="majorBidi" w:cstheme="majorBidi"/>
                <w:i/>
                <w:sz w:val="18"/>
                <w:szCs w:val="18"/>
                <w:lang w:bidi="fr-FR"/>
              </w:rPr>
            </w:pPr>
            <w:r w:rsidRPr="0054502F">
              <w:rPr>
                <w:rFonts w:asciiTheme="majorBidi" w:hAnsiTheme="majorBidi" w:cstheme="majorBidi"/>
                <w:i/>
                <w:sz w:val="18"/>
                <w:szCs w:val="18"/>
                <w:lang w:bidi="fr-FR"/>
              </w:rPr>
              <w:t>-difficultés potentielles de déplacement des experts</w:t>
            </w:r>
          </w:p>
          <w:p w14:paraId="0E8CCBD2" w14:textId="77777777" w:rsidR="00BA1C19" w:rsidRPr="0054502F" w:rsidRDefault="0054502F" w:rsidP="005261DD">
            <w:pPr>
              <w:autoSpaceDE w:val="0"/>
              <w:autoSpaceDN w:val="0"/>
              <w:adjustRightInd w:val="0"/>
              <w:rPr>
                <w:rFonts w:asciiTheme="majorBidi" w:hAnsiTheme="majorBidi" w:cstheme="majorBidi"/>
                <w:i/>
                <w:sz w:val="18"/>
                <w:szCs w:val="18"/>
                <w:lang w:bidi="fr-FR"/>
              </w:rPr>
            </w:pPr>
            <w:r w:rsidRPr="0054502F">
              <w:rPr>
                <w:rFonts w:asciiTheme="majorBidi" w:hAnsiTheme="majorBidi" w:cstheme="majorBidi"/>
                <w:i/>
                <w:sz w:val="18"/>
                <w:szCs w:val="18"/>
                <w:lang w:bidi="fr-FR"/>
              </w:rPr>
              <w:t>-fermeture des frontières</w:t>
            </w:r>
          </w:p>
        </w:tc>
      </w:tr>
      <w:tr w:rsidR="006A5E37" w:rsidRPr="0054502F" w14:paraId="6E83F7A0" w14:textId="77777777" w:rsidTr="005261DD">
        <w:trPr>
          <w:trHeight w:val="1151"/>
        </w:trPr>
        <w:tc>
          <w:tcPr>
            <w:tcW w:w="710" w:type="dxa"/>
            <w:shd w:val="clear" w:color="auto" w:fill="EEECE1" w:themeFill="background2"/>
            <w:textDirection w:val="btLr"/>
            <w:vAlign w:val="center"/>
          </w:tcPr>
          <w:p w14:paraId="5D5283BE" w14:textId="77777777" w:rsidR="006A5E37" w:rsidRPr="0054502F" w:rsidRDefault="006A5E37" w:rsidP="00BA1C19">
            <w:pPr>
              <w:tabs>
                <w:tab w:val="left" w:pos="0"/>
                <w:tab w:val="left" w:pos="132"/>
              </w:tabs>
              <w:ind w:left="113" w:right="113" w:hanging="101"/>
              <w:jc w:val="center"/>
              <w:rPr>
                <w:rFonts w:asciiTheme="majorBidi" w:hAnsiTheme="majorBidi" w:cstheme="majorBidi"/>
                <w:b/>
                <w:bCs/>
                <w:i/>
                <w:sz w:val="18"/>
                <w:szCs w:val="18"/>
                <w:lang w:bidi="fr-FR"/>
              </w:rPr>
            </w:pPr>
            <w:r w:rsidRPr="0054502F">
              <w:rPr>
                <w:rFonts w:asciiTheme="majorBidi" w:hAnsiTheme="majorBidi" w:cstheme="majorBidi"/>
                <w:b/>
                <w:bCs/>
                <w:i/>
                <w:sz w:val="18"/>
                <w:szCs w:val="18"/>
                <w:lang w:bidi="fr-FR"/>
              </w:rPr>
              <w:t>Effet</w:t>
            </w:r>
          </w:p>
          <w:p w14:paraId="4194F9F9" w14:textId="77777777" w:rsidR="006A5E37" w:rsidRPr="0054502F" w:rsidRDefault="006A5E37" w:rsidP="00BA1C19">
            <w:pPr>
              <w:tabs>
                <w:tab w:val="left" w:pos="0"/>
                <w:tab w:val="left" w:pos="132"/>
              </w:tabs>
              <w:ind w:left="113" w:right="113" w:hanging="101"/>
              <w:jc w:val="center"/>
              <w:rPr>
                <w:rFonts w:asciiTheme="majorBidi" w:hAnsiTheme="majorBidi" w:cstheme="majorBidi"/>
                <w:b/>
                <w:i/>
                <w:sz w:val="18"/>
                <w:szCs w:val="18"/>
                <w:lang w:bidi="fr-FR"/>
              </w:rPr>
            </w:pPr>
            <w:r w:rsidRPr="0054502F">
              <w:rPr>
                <w:rFonts w:asciiTheme="majorBidi" w:hAnsiTheme="majorBidi" w:cstheme="majorBidi"/>
                <w:i/>
                <w:sz w:val="18"/>
                <w:szCs w:val="18"/>
                <w:lang w:bidi="fr-FR"/>
              </w:rPr>
              <w:t>(objectif spécifique)</w:t>
            </w:r>
          </w:p>
        </w:tc>
        <w:tc>
          <w:tcPr>
            <w:tcW w:w="3544" w:type="dxa"/>
            <w:shd w:val="clear" w:color="auto" w:fill="auto"/>
          </w:tcPr>
          <w:p w14:paraId="0B469928" w14:textId="77777777" w:rsidR="006A5E37" w:rsidRDefault="002342E6" w:rsidP="00084954">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Renforcer les dispositifs de gouvernance de l’AJR en matière juridique, stratégique et organisationnelle, notamment en ce qui concerne la gestion du contentieux de l’État, tout en plaçant les droits des citoyens au cœur de l’action publique.</w:t>
            </w:r>
          </w:p>
          <w:p w14:paraId="2E6E42E3" w14:textId="77777777" w:rsidR="0054502F" w:rsidRPr="0054502F" w:rsidRDefault="0054502F" w:rsidP="00084954">
            <w:pPr>
              <w:autoSpaceDE w:val="0"/>
              <w:autoSpaceDN w:val="0"/>
              <w:adjustRightInd w:val="0"/>
              <w:jc w:val="both"/>
              <w:rPr>
                <w:rFonts w:asciiTheme="majorBidi" w:hAnsiTheme="majorBidi" w:cstheme="majorBidi"/>
                <w:i/>
                <w:sz w:val="18"/>
                <w:szCs w:val="18"/>
                <w:lang w:bidi="fr-FR"/>
              </w:rPr>
            </w:pPr>
          </w:p>
        </w:tc>
        <w:tc>
          <w:tcPr>
            <w:tcW w:w="4110" w:type="dxa"/>
            <w:shd w:val="clear" w:color="auto" w:fill="auto"/>
          </w:tcPr>
          <w:p w14:paraId="5708D083" w14:textId="77777777" w:rsidR="006A5E37" w:rsidRPr="000B156D" w:rsidRDefault="000B156D"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Taux de conformité aux normes juridiques</w:t>
            </w:r>
          </w:p>
          <w:p w14:paraId="08340776" w14:textId="77777777" w:rsidR="000B156D" w:rsidRPr="000B156D" w:rsidRDefault="000B156D"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aux de mise en œuvre du plan stratégique</w:t>
            </w:r>
          </w:p>
          <w:p w14:paraId="4F0EF37D" w14:textId="77777777" w:rsidR="000B156D" w:rsidRPr="000B156D" w:rsidRDefault="000B156D"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Nombre de plaintes traitées</w:t>
            </w:r>
          </w:p>
          <w:p w14:paraId="0B9FD00A" w14:textId="77777777" w:rsidR="000B156D" w:rsidRPr="000B156D" w:rsidRDefault="000B156D" w:rsidP="000B156D">
            <w:pPr>
              <w:autoSpaceDE w:val="0"/>
              <w:autoSpaceDN w:val="0"/>
              <w:adjustRightInd w:val="0"/>
              <w:jc w:val="both"/>
              <w:rPr>
                <w:rFonts w:asciiTheme="majorBidi" w:hAnsiTheme="majorBidi" w:cstheme="majorBidi"/>
                <w:i/>
                <w:sz w:val="18"/>
                <w:szCs w:val="18"/>
                <w:lang w:bidi="fr-FR"/>
              </w:rPr>
            </w:pPr>
            <w:r w:rsidRPr="000B156D">
              <w:rPr>
                <w:rFonts w:asciiTheme="majorBidi" w:hAnsiTheme="majorBidi" w:cstheme="majorBidi"/>
                <w:i/>
                <w:sz w:val="18"/>
                <w:szCs w:val="18"/>
                <w:lang w:bidi="fr-FR"/>
              </w:rPr>
              <w:t>Nombre de révisions législatives proposées</w:t>
            </w:r>
          </w:p>
          <w:p w14:paraId="0CFCCA01" w14:textId="77777777" w:rsidR="000B156D" w:rsidRPr="0054502F" w:rsidRDefault="000B156D" w:rsidP="000B156D">
            <w:pPr>
              <w:autoSpaceDE w:val="0"/>
              <w:autoSpaceDN w:val="0"/>
              <w:adjustRightInd w:val="0"/>
              <w:jc w:val="both"/>
              <w:rPr>
                <w:rFonts w:asciiTheme="majorBidi" w:hAnsiTheme="majorBidi" w:cstheme="majorBidi"/>
                <w:i/>
                <w:sz w:val="18"/>
                <w:szCs w:val="18"/>
                <w:lang w:bidi="fr-FR"/>
              </w:rPr>
            </w:pPr>
          </w:p>
        </w:tc>
        <w:tc>
          <w:tcPr>
            <w:tcW w:w="3119" w:type="dxa"/>
            <w:shd w:val="clear" w:color="auto" w:fill="auto"/>
          </w:tcPr>
          <w:p w14:paraId="58DE4EF2" w14:textId="77777777" w:rsidR="0054502F" w:rsidRPr="0054502F" w:rsidRDefault="0054502F" w:rsidP="0054502F">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 xml:space="preserve"> Rapport national annuel de l’AJR</w:t>
            </w:r>
          </w:p>
          <w:p w14:paraId="638777CC" w14:textId="77777777" w:rsidR="0054502F" w:rsidRDefault="0054502F" w:rsidP="0054502F">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Plans d’action</w:t>
            </w:r>
          </w:p>
          <w:p w14:paraId="5F0BBDCD" w14:textId="77777777" w:rsidR="000B156D" w:rsidRPr="0054502F" w:rsidRDefault="000B156D" w:rsidP="0054502F">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Enquêtes</w:t>
            </w:r>
          </w:p>
          <w:p w14:paraId="607D4281" w14:textId="77777777" w:rsidR="006A5E37" w:rsidRPr="0054502F" w:rsidRDefault="006A5E37" w:rsidP="0054502F">
            <w:pPr>
              <w:autoSpaceDE w:val="0"/>
              <w:autoSpaceDN w:val="0"/>
              <w:adjustRightInd w:val="0"/>
              <w:jc w:val="both"/>
              <w:rPr>
                <w:rFonts w:asciiTheme="majorBidi" w:hAnsiTheme="majorBidi" w:cstheme="majorBidi"/>
                <w:i/>
                <w:sz w:val="18"/>
                <w:szCs w:val="18"/>
                <w:lang w:bidi="fr-FR"/>
              </w:rPr>
            </w:pPr>
          </w:p>
        </w:tc>
        <w:tc>
          <w:tcPr>
            <w:tcW w:w="1984" w:type="dxa"/>
            <w:shd w:val="clear" w:color="auto" w:fill="auto"/>
            <w:vAlign w:val="center"/>
          </w:tcPr>
          <w:p w14:paraId="406D3152" w14:textId="77777777" w:rsidR="006A5E37" w:rsidRPr="0054502F" w:rsidRDefault="00864859" w:rsidP="00BA1C19">
            <w:pPr>
              <w:autoSpaceDE w:val="0"/>
              <w:autoSpaceDN w:val="0"/>
              <w:adjustRightInd w:val="0"/>
              <w:jc w:val="center"/>
              <w:rPr>
                <w:rFonts w:asciiTheme="majorBidi" w:hAnsiTheme="majorBidi" w:cstheme="majorBidi"/>
                <w:iCs/>
                <w:sz w:val="18"/>
                <w:szCs w:val="18"/>
                <w:lang w:bidi="fr-FR"/>
              </w:rPr>
            </w:pPr>
            <w:r>
              <w:rPr>
                <w:rFonts w:asciiTheme="majorBidi" w:hAnsiTheme="majorBidi" w:cstheme="majorBidi"/>
                <w:iCs/>
                <w:sz w:val="18"/>
                <w:szCs w:val="18"/>
                <w:lang w:bidi="fr-FR"/>
              </w:rPr>
              <w:t>-</w:t>
            </w:r>
          </w:p>
        </w:tc>
        <w:tc>
          <w:tcPr>
            <w:tcW w:w="2127" w:type="dxa"/>
          </w:tcPr>
          <w:p w14:paraId="123B7D38" w14:textId="77777777" w:rsidR="006A5E37" w:rsidRDefault="005261DD" w:rsidP="005261DD">
            <w:pPr>
              <w:autoSpaceDE w:val="0"/>
              <w:autoSpaceDN w:val="0"/>
              <w:adjustRightInd w:val="0"/>
              <w:rPr>
                <w:rFonts w:asciiTheme="majorBidi" w:hAnsiTheme="majorBidi" w:cstheme="majorBidi"/>
                <w:i/>
                <w:sz w:val="18"/>
                <w:szCs w:val="18"/>
                <w:lang w:bidi="fr-FR"/>
              </w:rPr>
            </w:pPr>
            <w:r w:rsidRPr="005261DD">
              <w:rPr>
                <w:rFonts w:asciiTheme="majorBidi" w:hAnsiTheme="majorBidi" w:cstheme="majorBidi"/>
                <w:i/>
                <w:sz w:val="18"/>
                <w:szCs w:val="18"/>
                <w:lang w:bidi="fr-FR"/>
              </w:rPr>
              <w:t>Faible coordination avec les partenaires</w:t>
            </w:r>
          </w:p>
          <w:p w14:paraId="3809E431" w14:textId="2DCE6F45" w:rsidR="007E573D" w:rsidRPr="0054502F" w:rsidRDefault="007E573D" w:rsidP="005261DD">
            <w:pPr>
              <w:autoSpaceDE w:val="0"/>
              <w:autoSpaceDN w:val="0"/>
              <w:adjustRightInd w:val="0"/>
              <w:rPr>
                <w:rFonts w:asciiTheme="majorBidi" w:hAnsiTheme="majorBidi" w:cstheme="majorBidi"/>
                <w:i/>
                <w:sz w:val="18"/>
                <w:szCs w:val="18"/>
                <w:lang w:bidi="fr-FR"/>
              </w:rPr>
            </w:pPr>
            <w:r>
              <w:rPr>
                <w:rFonts w:asciiTheme="majorBidi" w:hAnsiTheme="majorBidi" w:cstheme="majorBidi"/>
                <w:i/>
                <w:sz w:val="18"/>
                <w:szCs w:val="18"/>
                <w:lang w:bidi="fr-FR"/>
              </w:rPr>
              <w:t>Capacité d’absorption de l’AJR</w:t>
            </w:r>
          </w:p>
        </w:tc>
      </w:tr>
      <w:tr w:rsidR="00E84C56" w:rsidRPr="0054502F" w14:paraId="75AAFDA0" w14:textId="77777777" w:rsidTr="00E84C56">
        <w:trPr>
          <w:trHeight w:val="340"/>
        </w:trPr>
        <w:tc>
          <w:tcPr>
            <w:tcW w:w="710" w:type="dxa"/>
            <w:vMerge w:val="restart"/>
            <w:shd w:val="clear" w:color="auto" w:fill="auto"/>
            <w:textDirection w:val="btLr"/>
          </w:tcPr>
          <w:p w14:paraId="57BFAE6F" w14:textId="77777777" w:rsidR="00E84C56" w:rsidRPr="0054502F" w:rsidRDefault="00E84C56" w:rsidP="00BA1C19">
            <w:pPr>
              <w:tabs>
                <w:tab w:val="left" w:pos="0"/>
                <w:tab w:val="left" w:pos="132"/>
              </w:tabs>
              <w:ind w:left="113" w:right="113" w:hanging="101"/>
              <w:jc w:val="center"/>
              <w:rPr>
                <w:rFonts w:asciiTheme="majorBidi" w:hAnsiTheme="majorBidi" w:cstheme="majorBidi"/>
                <w:b/>
                <w:i/>
                <w:sz w:val="18"/>
                <w:szCs w:val="18"/>
                <w:lang w:bidi="fr-FR"/>
              </w:rPr>
            </w:pPr>
            <w:r w:rsidRPr="0054502F">
              <w:rPr>
                <w:rFonts w:asciiTheme="majorBidi" w:hAnsiTheme="majorBidi" w:cstheme="majorBidi"/>
                <w:b/>
                <w:i/>
                <w:sz w:val="18"/>
                <w:szCs w:val="18"/>
                <w:lang w:bidi="fr-FR"/>
              </w:rPr>
              <w:t>Produits</w:t>
            </w:r>
          </w:p>
          <w:p w14:paraId="6F93B528" w14:textId="77777777" w:rsidR="00E84C56" w:rsidRPr="0054502F" w:rsidRDefault="00E84C56" w:rsidP="00BA1C19">
            <w:pPr>
              <w:tabs>
                <w:tab w:val="left" w:pos="0"/>
                <w:tab w:val="left" w:pos="132"/>
              </w:tabs>
              <w:ind w:left="113" w:right="113" w:hanging="102"/>
              <w:jc w:val="center"/>
              <w:rPr>
                <w:rFonts w:asciiTheme="majorBidi" w:hAnsiTheme="majorBidi" w:cstheme="majorBidi"/>
                <w:i/>
                <w:sz w:val="18"/>
                <w:szCs w:val="18"/>
                <w:lang w:bidi="fr-FR"/>
              </w:rPr>
            </w:pPr>
            <w:r w:rsidRPr="0054502F">
              <w:rPr>
                <w:rFonts w:asciiTheme="majorBidi" w:hAnsiTheme="majorBidi" w:cstheme="majorBidi"/>
                <w:i/>
                <w:sz w:val="18"/>
                <w:szCs w:val="18"/>
                <w:lang w:bidi="fr-FR"/>
              </w:rPr>
              <w:t>(Volet 1)</w:t>
            </w:r>
          </w:p>
        </w:tc>
        <w:tc>
          <w:tcPr>
            <w:tcW w:w="14884" w:type="dxa"/>
            <w:gridSpan w:val="5"/>
            <w:shd w:val="clear" w:color="auto" w:fill="EEECE1" w:themeFill="background2"/>
          </w:tcPr>
          <w:p w14:paraId="1099C1C3" w14:textId="77777777" w:rsidR="00E84C56" w:rsidRPr="0054502F" w:rsidRDefault="00E84C56" w:rsidP="00E84C56">
            <w:pPr>
              <w:autoSpaceDE w:val="0"/>
              <w:autoSpaceDN w:val="0"/>
              <w:adjustRightInd w:val="0"/>
              <w:rPr>
                <w:rFonts w:asciiTheme="majorBidi" w:hAnsiTheme="majorBidi" w:cstheme="majorBidi"/>
                <w:b/>
                <w:bCs/>
                <w:iCs/>
                <w:sz w:val="18"/>
                <w:szCs w:val="18"/>
                <w:lang w:bidi="fr-FR"/>
              </w:rPr>
            </w:pPr>
            <w:r w:rsidRPr="0054502F">
              <w:rPr>
                <w:rFonts w:asciiTheme="majorBidi" w:hAnsiTheme="majorBidi" w:cstheme="majorBidi"/>
                <w:b/>
                <w:bCs/>
                <w:i/>
                <w:sz w:val="18"/>
                <w:szCs w:val="18"/>
                <w:lang w:bidi="fr-FR"/>
              </w:rPr>
              <w:t>Volet 1 : Gouvernance juridique, normative.</w:t>
            </w:r>
          </w:p>
        </w:tc>
      </w:tr>
      <w:tr w:rsidR="006A5E37" w:rsidRPr="0054502F" w14:paraId="3A1AA1A5" w14:textId="77777777" w:rsidTr="000F636A">
        <w:trPr>
          <w:trHeight w:val="457"/>
        </w:trPr>
        <w:tc>
          <w:tcPr>
            <w:tcW w:w="710" w:type="dxa"/>
            <w:vMerge/>
            <w:shd w:val="clear" w:color="auto" w:fill="auto"/>
            <w:textDirection w:val="btLr"/>
          </w:tcPr>
          <w:p w14:paraId="3BD0CE46" w14:textId="77777777" w:rsidR="006A5E37" w:rsidRPr="0054502F" w:rsidRDefault="006A5E37" w:rsidP="00BA1C19">
            <w:pPr>
              <w:tabs>
                <w:tab w:val="left" w:pos="0"/>
                <w:tab w:val="left" w:pos="132"/>
              </w:tabs>
              <w:ind w:left="113" w:right="113" w:hanging="101"/>
              <w:jc w:val="center"/>
              <w:rPr>
                <w:rFonts w:asciiTheme="majorBidi" w:hAnsiTheme="majorBidi" w:cstheme="majorBidi"/>
                <w:b/>
                <w:i/>
                <w:sz w:val="18"/>
                <w:szCs w:val="18"/>
                <w:lang w:bidi="fr-FR"/>
              </w:rPr>
            </w:pPr>
          </w:p>
        </w:tc>
        <w:tc>
          <w:tcPr>
            <w:tcW w:w="3544" w:type="dxa"/>
            <w:shd w:val="clear" w:color="auto" w:fill="auto"/>
          </w:tcPr>
          <w:p w14:paraId="548623AD" w14:textId="77777777" w:rsidR="006A5E37" w:rsidRPr="0054502F" w:rsidRDefault="00E84C56" w:rsidP="005A40D7">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Résultat attendu n°1 : le cadre de gouvernance normative juridique de l’Agence Judiciaire du Royaume est mis à niveau.</w:t>
            </w:r>
          </w:p>
        </w:tc>
        <w:tc>
          <w:tcPr>
            <w:tcW w:w="4110" w:type="dxa"/>
            <w:shd w:val="clear" w:color="auto" w:fill="auto"/>
          </w:tcPr>
          <w:p w14:paraId="3913924B" w14:textId="46756AF4" w:rsidR="00E84C56" w:rsidRPr="0054502F" w:rsidRDefault="00EC4AFC" w:rsidP="00E84C56">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1.1 : </w:t>
            </w:r>
            <w:r w:rsidR="00E84C56" w:rsidRPr="0054502F">
              <w:rPr>
                <w:rFonts w:asciiTheme="majorBidi" w:hAnsiTheme="majorBidi" w:cstheme="majorBidi"/>
                <w:i/>
                <w:sz w:val="18"/>
                <w:szCs w:val="18"/>
                <w:lang w:bidi="fr-FR"/>
              </w:rPr>
              <w:t>Une étude de benchmarking détaillée sur les cadres juridiques en vigueur dans les États membres de l’Union européenne est réalisée et validée.</w:t>
            </w:r>
          </w:p>
          <w:p w14:paraId="3EE0170C" w14:textId="4AA618FA" w:rsidR="00E84C56"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1.2 : </w:t>
            </w:r>
            <w:r w:rsidR="00E84C56" w:rsidRPr="0054502F">
              <w:rPr>
                <w:rFonts w:asciiTheme="majorBidi" w:hAnsiTheme="majorBidi" w:cstheme="majorBidi"/>
                <w:i/>
                <w:sz w:val="18"/>
                <w:szCs w:val="18"/>
                <w:lang w:bidi="fr-FR"/>
              </w:rPr>
              <w:t>Au moins deux textes juridiques (projets de loi, décrets ou arrêtés) sont rédigés, révisés ou actualisés afin de moderniser le cadre juridique de l’AJR.</w:t>
            </w:r>
          </w:p>
          <w:p w14:paraId="35E0EBFF" w14:textId="225BB94D" w:rsidR="00E84C56"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1.3 : </w:t>
            </w:r>
            <w:r w:rsidR="00E84C56" w:rsidRPr="0054502F">
              <w:rPr>
                <w:rFonts w:asciiTheme="majorBidi" w:hAnsiTheme="majorBidi" w:cstheme="majorBidi"/>
                <w:i/>
                <w:sz w:val="18"/>
                <w:szCs w:val="18"/>
                <w:lang w:bidi="fr-FR"/>
              </w:rPr>
              <w:t>Appui à la mise en place d’un système d’information juridique intégré permettant le suivi, l’analyse et la gestion prévisionnelle du contentieux.</w:t>
            </w:r>
          </w:p>
          <w:p w14:paraId="10CA57CD" w14:textId="485C2BDE" w:rsidR="00E84C56"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1.4 : </w:t>
            </w:r>
            <w:r w:rsidR="00E84C56" w:rsidRPr="0054502F">
              <w:rPr>
                <w:rFonts w:asciiTheme="majorBidi" w:hAnsiTheme="majorBidi" w:cstheme="majorBidi"/>
                <w:i/>
                <w:sz w:val="18"/>
                <w:szCs w:val="18"/>
                <w:lang w:bidi="fr-FR"/>
              </w:rPr>
              <w:t>Un outil numérique de veille juridique est conçu et intégré dans les procédures internes de l’AJR.</w:t>
            </w:r>
          </w:p>
          <w:p w14:paraId="3D9715DC" w14:textId="4337E42E" w:rsidR="006A5E37"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1.5 : </w:t>
            </w:r>
            <w:r w:rsidR="00E84C56" w:rsidRPr="0054502F">
              <w:rPr>
                <w:rFonts w:asciiTheme="majorBidi" w:hAnsiTheme="majorBidi" w:cstheme="majorBidi"/>
                <w:i/>
                <w:sz w:val="18"/>
                <w:szCs w:val="18"/>
                <w:lang w:bidi="fr-FR"/>
              </w:rPr>
              <w:t>Un diagnostic organisationnel et fonctionnel de la fonction veille est réalisé, assorti d’un plan stratégique de mise en œuvre validé.</w:t>
            </w:r>
          </w:p>
        </w:tc>
        <w:tc>
          <w:tcPr>
            <w:tcW w:w="3119" w:type="dxa"/>
            <w:shd w:val="clear" w:color="auto" w:fill="auto"/>
          </w:tcPr>
          <w:p w14:paraId="682E7036" w14:textId="77777777" w:rsidR="006A5E37" w:rsidRDefault="0041228E"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de benchmark</w:t>
            </w:r>
          </w:p>
          <w:p w14:paraId="5893B8E8" w14:textId="77777777" w:rsidR="0041228E" w:rsidRDefault="0041228E"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Projet de textes juridiques</w:t>
            </w:r>
          </w:p>
          <w:p w14:paraId="36298EB3" w14:textId="77777777" w:rsidR="0041228E" w:rsidRDefault="0041228E"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de fonctionnement du système d’information juridique</w:t>
            </w:r>
          </w:p>
          <w:p w14:paraId="73542A83" w14:textId="77777777" w:rsidR="0041228E" w:rsidRDefault="0041228E"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Manuel de procédure de l’outil numérique de veille juridique</w:t>
            </w:r>
          </w:p>
          <w:p w14:paraId="7EEFDA59" w14:textId="77777777" w:rsidR="0041228E" w:rsidRPr="0054502F" w:rsidRDefault="0041228E"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de diagnostic organisationnel</w:t>
            </w:r>
          </w:p>
        </w:tc>
        <w:tc>
          <w:tcPr>
            <w:tcW w:w="1984" w:type="dxa"/>
            <w:shd w:val="clear" w:color="auto" w:fill="auto"/>
          </w:tcPr>
          <w:p w14:paraId="529884CA" w14:textId="77777777" w:rsidR="006A5E37" w:rsidRPr="000F636A" w:rsidRDefault="000F636A" w:rsidP="000F636A">
            <w:pPr>
              <w:autoSpaceDE w:val="0"/>
              <w:autoSpaceDN w:val="0"/>
              <w:adjustRightInd w:val="0"/>
              <w:rPr>
                <w:rFonts w:asciiTheme="majorBidi" w:hAnsiTheme="majorBidi" w:cstheme="majorBidi"/>
                <w:i/>
                <w:sz w:val="18"/>
                <w:szCs w:val="18"/>
                <w:lang w:bidi="fr-FR"/>
              </w:rPr>
            </w:pPr>
            <w:r w:rsidRPr="000F636A">
              <w:rPr>
                <w:rFonts w:asciiTheme="majorBidi" w:hAnsiTheme="majorBidi" w:cstheme="majorBidi"/>
                <w:i/>
                <w:sz w:val="18"/>
                <w:szCs w:val="18"/>
                <w:lang w:bidi="fr-FR"/>
              </w:rPr>
              <w:t>volonté politique</w:t>
            </w:r>
          </w:p>
          <w:p w14:paraId="402B07FC" w14:textId="77777777" w:rsidR="000F636A" w:rsidRPr="000F636A" w:rsidRDefault="000F636A" w:rsidP="000F636A">
            <w:pPr>
              <w:autoSpaceDE w:val="0"/>
              <w:autoSpaceDN w:val="0"/>
              <w:adjustRightInd w:val="0"/>
              <w:rPr>
                <w:rFonts w:asciiTheme="majorBidi" w:hAnsiTheme="majorBidi" w:cstheme="majorBidi"/>
                <w:i/>
                <w:sz w:val="18"/>
                <w:szCs w:val="18"/>
                <w:lang w:bidi="fr-FR"/>
              </w:rPr>
            </w:pPr>
            <w:r w:rsidRPr="000F636A">
              <w:rPr>
                <w:rFonts w:asciiTheme="majorBidi" w:hAnsiTheme="majorBidi" w:cstheme="majorBidi"/>
                <w:i/>
                <w:sz w:val="18"/>
                <w:szCs w:val="18"/>
                <w:lang w:bidi="fr-FR"/>
              </w:rPr>
              <w:t>coordination interinstitutionnelle</w:t>
            </w:r>
          </w:p>
          <w:p w14:paraId="4DDE16C7" w14:textId="77777777" w:rsidR="000F636A" w:rsidRPr="0054502F" w:rsidRDefault="000F636A" w:rsidP="000F636A">
            <w:pPr>
              <w:autoSpaceDE w:val="0"/>
              <w:autoSpaceDN w:val="0"/>
              <w:adjustRightInd w:val="0"/>
              <w:rPr>
                <w:rFonts w:asciiTheme="majorBidi" w:hAnsiTheme="majorBidi" w:cstheme="majorBidi"/>
                <w:iCs/>
                <w:sz w:val="18"/>
                <w:szCs w:val="18"/>
                <w:lang w:bidi="fr-FR"/>
              </w:rPr>
            </w:pPr>
            <w:r w:rsidRPr="000F636A">
              <w:rPr>
                <w:rFonts w:asciiTheme="majorBidi" w:hAnsiTheme="majorBidi" w:cstheme="majorBidi"/>
                <w:i/>
                <w:sz w:val="18"/>
                <w:szCs w:val="18"/>
                <w:lang w:bidi="fr-FR"/>
              </w:rPr>
              <w:t>soutien des parties prenantes</w:t>
            </w:r>
          </w:p>
        </w:tc>
        <w:tc>
          <w:tcPr>
            <w:tcW w:w="2127" w:type="dxa"/>
            <w:shd w:val="clear" w:color="auto" w:fill="auto"/>
          </w:tcPr>
          <w:p w14:paraId="5C1CAE07" w14:textId="77777777" w:rsidR="000F636A" w:rsidRPr="000F636A" w:rsidRDefault="000F636A" w:rsidP="000F636A">
            <w:pPr>
              <w:autoSpaceDE w:val="0"/>
              <w:autoSpaceDN w:val="0"/>
              <w:adjustRightInd w:val="0"/>
              <w:rPr>
                <w:rFonts w:asciiTheme="majorBidi" w:hAnsiTheme="majorBidi" w:cstheme="majorBidi"/>
                <w:i/>
                <w:sz w:val="18"/>
                <w:szCs w:val="18"/>
                <w:lang w:bidi="fr-FR"/>
              </w:rPr>
            </w:pPr>
            <w:r w:rsidRPr="000F636A">
              <w:rPr>
                <w:rFonts w:asciiTheme="majorBidi" w:hAnsiTheme="majorBidi" w:cstheme="majorBidi"/>
                <w:i/>
                <w:sz w:val="18"/>
                <w:szCs w:val="18"/>
                <w:lang w:bidi="fr-FR"/>
              </w:rPr>
              <w:t>Risque de résistance au changement institutionnel</w:t>
            </w:r>
          </w:p>
          <w:p w14:paraId="534D254C" w14:textId="77777777" w:rsidR="000F636A" w:rsidRPr="000F636A" w:rsidRDefault="000F636A" w:rsidP="000F636A">
            <w:pPr>
              <w:autoSpaceDE w:val="0"/>
              <w:autoSpaceDN w:val="0"/>
              <w:adjustRightInd w:val="0"/>
              <w:rPr>
                <w:rFonts w:asciiTheme="majorBidi" w:hAnsiTheme="majorBidi" w:cstheme="majorBidi"/>
                <w:i/>
                <w:sz w:val="18"/>
                <w:szCs w:val="18"/>
                <w:lang w:bidi="fr-FR"/>
              </w:rPr>
            </w:pPr>
            <w:r w:rsidRPr="000F636A">
              <w:rPr>
                <w:rFonts w:asciiTheme="majorBidi" w:hAnsiTheme="majorBidi" w:cstheme="majorBidi"/>
                <w:i/>
                <w:sz w:val="18"/>
                <w:szCs w:val="18"/>
                <w:lang w:bidi="fr-FR"/>
              </w:rPr>
              <w:t>Risque juridique lié à l'insécurité juridique</w:t>
            </w:r>
          </w:p>
          <w:p w14:paraId="519CBDE2" w14:textId="77777777" w:rsidR="006A5E37" w:rsidRPr="000F636A" w:rsidRDefault="000F636A" w:rsidP="000F636A">
            <w:pPr>
              <w:autoSpaceDE w:val="0"/>
              <w:autoSpaceDN w:val="0"/>
              <w:adjustRightInd w:val="0"/>
              <w:rPr>
                <w:rFonts w:asciiTheme="majorBidi" w:hAnsiTheme="majorBidi" w:cstheme="majorBidi"/>
                <w:i/>
                <w:sz w:val="18"/>
                <w:szCs w:val="18"/>
                <w:lang w:bidi="fr-FR"/>
              </w:rPr>
            </w:pPr>
            <w:r w:rsidRPr="000F636A">
              <w:rPr>
                <w:rFonts w:asciiTheme="majorBidi" w:hAnsiTheme="majorBidi" w:cstheme="majorBidi"/>
                <w:i/>
                <w:sz w:val="18"/>
                <w:szCs w:val="18"/>
                <w:lang w:bidi="fr-FR"/>
              </w:rPr>
              <w:t>Risque de non-adaptation aux évolutions internationales</w:t>
            </w:r>
          </w:p>
          <w:p w14:paraId="052D68D0" w14:textId="77777777" w:rsidR="000F636A" w:rsidRPr="000F636A" w:rsidRDefault="000F636A" w:rsidP="000F636A">
            <w:pPr>
              <w:autoSpaceDE w:val="0"/>
              <w:autoSpaceDN w:val="0"/>
              <w:adjustRightInd w:val="0"/>
              <w:rPr>
                <w:rFonts w:asciiTheme="majorBidi" w:hAnsiTheme="majorBidi" w:cstheme="majorBidi"/>
                <w:i/>
                <w:sz w:val="18"/>
                <w:szCs w:val="18"/>
                <w:lang w:bidi="fr-FR"/>
              </w:rPr>
            </w:pPr>
            <w:r w:rsidRPr="000F636A">
              <w:rPr>
                <w:rFonts w:asciiTheme="majorBidi" w:hAnsiTheme="majorBidi" w:cstheme="majorBidi"/>
                <w:i/>
                <w:sz w:val="18"/>
                <w:szCs w:val="18"/>
                <w:lang w:bidi="fr-FR"/>
              </w:rPr>
              <w:t>Risque de fragmentation de la gestion du contentieux</w:t>
            </w:r>
          </w:p>
        </w:tc>
      </w:tr>
      <w:tr w:rsidR="00E84C56" w:rsidRPr="0054502F" w14:paraId="02F9C033" w14:textId="77777777" w:rsidTr="00E84C56">
        <w:trPr>
          <w:trHeight w:val="420"/>
        </w:trPr>
        <w:tc>
          <w:tcPr>
            <w:tcW w:w="710" w:type="dxa"/>
            <w:vMerge/>
            <w:shd w:val="clear" w:color="auto" w:fill="auto"/>
            <w:textDirection w:val="btLr"/>
          </w:tcPr>
          <w:p w14:paraId="2AB8059E" w14:textId="77777777" w:rsidR="00E84C56" w:rsidRPr="0054502F" w:rsidRDefault="00E84C56" w:rsidP="00BA1C19">
            <w:pPr>
              <w:tabs>
                <w:tab w:val="left" w:pos="0"/>
                <w:tab w:val="left" w:pos="132"/>
              </w:tabs>
              <w:ind w:left="113" w:right="113" w:hanging="101"/>
              <w:jc w:val="center"/>
              <w:rPr>
                <w:rFonts w:asciiTheme="majorBidi" w:hAnsiTheme="majorBidi" w:cstheme="majorBidi"/>
                <w:b/>
                <w:i/>
                <w:sz w:val="18"/>
                <w:szCs w:val="18"/>
                <w:lang w:bidi="fr-FR"/>
              </w:rPr>
            </w:pPr>
          </w:p>
        </w:tc>
        <w:tc>
          <w:tcPr>
            <w:tcW w:w="14884" w:type="dxa"/>
            <w:gridSpan w:val="5"/>
            <w:shd w:val="clear" w:color="auto" w:fill="EEECE1" w:themeFill="background2"/>
          </w:tcPr>
          <w:p w14:paraId="70BC4D98" w14:textId="77777777" w:rsidR="00E84C56" w:rsidRPr="0054502F" w:rsidRDefault="00E84C56" w:rsidP="00E84C56">
            <w:pPr>
              <w:autoSpaceDE w:val="0"/>
              <w:autoSpaceDN w:val="0"/>
              <w:adjustRightInd w:val="0"/>
              <w:rPr>
                <w:rFonts w:asciiTheme="majorBidi" w:hAnsiTheme="majorBidi" w:cstheme="majorBidi"/>
                <w:i/>
                <w:sz w:val="18"/>
                <w:szCs w:val="18"/>
                <w:lang w:bidi="fr-FR"/>
              </w:rPr>
            </w:pPr>
            <w:r w:rsidRPr="0054502F">
              <w:rPr>
                <w:rFonts w:asciiTheme="majorBidi" w:hAnsiTheme="majorBidi" w:cstheme="majorBidi"/>
                <w:b/>
                <w:bCs/>
                <w:i/>
                <w:sz w:val="18"/>
                <w:szCs w:val="18"/>
                <w:lang w:bidi="fr-FR"/>
              </w:rPr>
              <w:t>Volet 2 : Renforcement institutionnel et organisationnel</w:t>
            </w:r>
          </w:p>
        </w:tc>
      </w:tr>
      <w:tr w:rsidR="000C40E9" w:rsidRPr="0054502F" w14:paraId="0EA43403" w14:textId="77777777" w:rsidTr="006629D9">
        <w:trPr>
          <w:trHeight w:val="420"/>
        </w:trPr>
        <w:tc>
          <w:tcPr>
            <w:tcW w:w="710" w:type="dxa"/>
            <w:vMerge/>
            <w:shd w:val="clear" w:color="auto" w:fill="auto"/>
            <w:textDirection w:val="btLr"/>
          </w:tcPr>
          <w:p w14:paraId="424F214B" w14:textId="77777777" w:rsidR="000C40E9" w:rsidRPr="0054502F" w:rsidRDefault="000C40E9" w:rsidP="00BA1C19">
            <w:pPr>
              <w:tabs>
                <w:tab w:val="left" w:pos="0"/>
                <w:tab w:val="left" w:pos="132"/>
              </w:tabs>
              <w:ind w:left="113" w:right="113" w:hanging="101"/>
              <w:jc w:val="center"/>
              <w:rPr>
                <w:rFonts w:asciiTheme="majorBidi" w:hAnsiTheme="majorBidi" w:cstheme="majorBidi"/>
                <w:b/>
                <w:i/>
                <w:sz w:val="18"/>
                <w:szCs w:val="18"/>
                <w:lang w:bidi="fr-FR"/>
              </w:rPr>
            </w:pPr>
          </w:p>
        </w:tc>
        <w:tc>
          <w:tcPr>
            <w:tcW w:w="3544" w:type="dxa"/>
            <w:shd w:val="clear" w:color="auto" w:fill="auto"/>
          </w:tcPr>
          <w:p w14:paraId="70BD2000" w14:textId="7C063CF5" w:rsidR="000C40E9" w:rsidRPr="0054502F" w:rsidRDefault="00E459AD"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Résultat attendu n°2.1</w:t>
            </w:r>
            <w:r w:rsidR="000C40E9" w:rsidRPr="0054502F">
              <w:rPr>
                <w:rFonts w:asciiTheme="majorBidi" w:hAnsiTheme="majorBidi" w:cstheme="majorBidi"/>
                <w:i/>
                <w:sz w:val="18"/>
                <w:szCs w:val="18"/>
                <w:lang w:bidi="fr-FR"/>
              </w:rPr>
              <w:t xml:space="preserve"> :</w:t>
            </w:r>
            <w:r w:rsidR="00EC4AFC">
              <w:rPr>
                <w:rFonts w:asciiTheme="majorBidi" w:hAnsiTheme="majorBidi" w:cstheme="majorBidi"/>
                <w:i/>
                <w:sz w:val="18"/>
                <w:szCs w:val="18"/>
                <w:lang w:bidi="fr-FR"/>
              </w:rPr>
              <w:t xml:space="preserve"> </w:t>
            </w:r>
            <w:r w:rsidR="00EC4AFC" w:rsidRPr="0054502F">
              <w:rPr>
                <w:rFonts w:asciiTheme="majorBidi" w:hAnsiTheme="majorBidi" w:cstheme="majorBidi"/>
                <w:i/>
                <w:sz w:val="18"/>
                <w:szCs w:val="18"/>
                <w:lang w:bidi="fr-FR"/>
              </w:rPr>
              <w:t>les aspects institutionnels et organisationnels de l’Agence sont renforcés</w:t>
            </w:r>
            <w:r w:rsidR="000C40E9" w:rsidRPr="0054502F">
              <w:rPr>
                <w:rFonts w:asciiTheme="majorBidi" w:hAnsiTheme="majorBidi" w:cstheme="majorBidi"/>
                <w:i/>
                <w:sz w:val="18"/>
                <w:szCs w:val="18"/>
                <w:lang w:bidi="fr-FR"/>
              </w:rPr>
              <w:t xml:space="preserve"> </w:t>
            </w:r>
          </w:p>
        </w:tc>
        <w:tc>
          <w:tcPr>
            <w:tcW w:w="4110" w:type="dxa"/>
            <w:vMerge w:val="restart"/>
            <w:shd w:val="clear" w:color="auto" w:fill="auto"/>
          </w:tcPr>
          <w:p w14:paraId="2281841B" w14:textId="7DACC482" w:rsidR="000C40E9" w:rsidRPr="0054502F" w:rsidRDefault="00EC4AFC" w:rsidP="00101B5F">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2.1.1 : </w:t>
            </w:r>
            <w:r w:rsidR="000C40E9" w:rsidRPr="0054502F">
              <w:rPr>
                <w:rFonts w:asciiTheme="majorBidi" w:hAnsiTheme="majorBidi" w:cstheme="majorBidi"/>
                <w:i/>
                <w:sz w:val="18"/>
                <w:szCs w:val="18"/>
                <w:lang w:bidi="fr-FR"/>
              </w:rPr>
              <w:t>Révision de la structure fonctionnelle de l’AJR afin d’éclaircir les attributions et d’optimiser la spécialisation en fonction des différents types de litiges (administratif, social, commercial, etc.).</w:t>
            </w:r>
          </w:p>
          <w:p w14:paraId="5DB5CD0F" w14:textId="658B45DD"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2.1.2 : </w:t>
            </w:r>
            <w:r w:rsidR="000C40E9" w:rsidRPr="0054502F">
              <w:rPr>
                <w:rFonts w:asciiTheme="majorBidi" w:hAnsiTheme="majorBidi" w:cstheme="majorBidi"/>
                <w:i/>
                <w:sz w:val="18"/>
                <w:szCs w:val="18"/>
                <w:lang w:bidi="fr-FR"/>
              </w:rPr>
              <w:tab/>
              <w:t>Proposer un nouveau schéma organisationnel de l’Agence accompagné d’une note de cadrage stratégique officielle.</w:t>
            </w:r>
          </w:p>
          <w:p w14:paraId="22889CB5" w14:textId="59205148"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2.1.3 :</w:t>
            </w:r>
            <w:r w:rsidR="000C40E9" w:rsidRPr="0054502F">
              <w:rPr>
                <w:rFonts w:asciiTheme="majorBidi" w:hAnsiTheme="majorBidi" w:cstheme="majorBidi"/>
                <w:i/>
                <w:sz w:val="18"/>
                <w:szCs w:val="18"/>
                <w:lang w:bidi="fr-FR"/>
              </w:rPr>
              <w:tab/>
              <w:t>Appui à la mise en place de bureaux régionaux pour décentraliser la gestion des litiges et renforcer la proximité de l’AJR avec les juridictions régionales et les citoyens.</w:t>
            </w:r>
          </w:p>
          <w:p w14:paraId="6DF08093" w14:textId="3BBD2613"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2.1.4 : </w:t>
            </w:r>
            <w:r w:rsidR="000C40E9" w:rsidRPr="0054502F">
              <w:rPr>
                <w:rFonts w:asciiTheme="majorBidi" w:hAnsiTheme="majorBidi" w:cstheme="majorBidi"/>
                <w:i/>
                <w:sz w:val="18"/>
                <w:szCs w:val="18"/>
                <w:lang w:bidi="fr-FR"/>
              </w:rPr>
              <w:tab/>
              <w:t>Développer de nouveaux mécanismes de coordination régionale (comme délégués régionaux ou représentation locale)</w:t>
            </w:r>
          </w:p>
          <w:p w14:paraId="3E8189C7" w14:textId="29F0F52C"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2.1.5 :</w:t>
            </w:r>
            <w:r w:rsidR="000C40E9" w:rsidRPr="0054502F">
              <w:rPr>
                <w:rFonts w:asciiTheme="majorBidi" w:hAnsiTheme="majorBidi" w:cstheme="majorBidi"/>
                <w:i/>
                <w:sz w:val="18"/>
                <w:szCs w:val="18"/>
                <w:lang w:bidi="fr-FR"/>
              </w:rPr>
              <w:tab/>
              <w:t>Élaboration d’un système de gestion intégré (ERP juridique) afin de suivre en temps réel l’évolution des affaires juridiques.</w:t>
            </w:r>
          </w:p>
          <w:p w14:paraId="0A8F733C" w14:textId="704ACEE2"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2.2.1 :</w:t>
            </w:r>
            <w:r w:rsidR="000C40E9" w:rsidRPr="0054502F">
              <w:rPr>
                <w:rFonts w:asciiTheme="majorBidi" w:hAnsiTheme="majorBidi" w:cstheme="majorBidi"/>
                <w:i/>
                <w:sz w:val="18"/>
                <w:szCs w:val="18"/>
                <w:lang w:bidi="fr-FR"/>
              </w:rPr>
              <w:tab/>
              <w:t>Appui à la création d’un comité stratégique pour la gestion des réformes litigieuses et la prévention des conflits.</w:t>
            </w:r>
          </w:p>
          <w:p w14:paraId="3C447367" w14:textId="33FE8781"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2.2.2 :</w:t>
            </w:r>
            <w:r w:rsidR="000C40E9" w:rsidRPr="0054502F">
              <w:rPr>
                <w:rFonts w:asciiTheme="majorBidi" w:hAnsiTheme="majorBidi" w:cstheme="majorBidi"/>
                <w:i/>
                <w:sz w:val="18"/>
                <w:szCs w:val="18"/>
                <w:lang w:bidi="fr-FR"/>
              </w:rPr>
              <w:tab/>
              <w:t>Appui à l’élaboration d’une stratégie nationale de gestion du contentieux.</w:t>
            </w:r>
          </w:p>
          <w:p w14:paraId="290C0F82" w14:textId="3DFEC180"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2.2.3 :</w:t>
            </w:r>
            <w:r w:rsidR="000C40E9" w:rsidRPr="0054502F">
              <w:rPr>
                <w:rFonts w:asciiTheme="majorBidi" w:hAnsiTheme="majorBidi" w:cstheme="majorBidi"/>
                <w:i/>
                <w:sz w:val="18"/>
                <w:szCs w:val="18"/>
                <w:lang w:bidi="fr-FR"/>
              </w:rPr>
              <w:tab/>
              <w:t>Appui au développement d’un observatoire du contentieux de l’État.</w:t>
            </w:r>
          </w:p>
          <w:p w14:paraId="4EBBC6F1" w14:textId="5C7BD240" w:rsidR="000C40E9" w:rsidRPr="0054502F" w:rsidRDefault="00EC4AFC"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2.2.4 :</w:t>
            </w:r>
            <w:r w:rsidR="000C40E9" w:rsidRPr="0054502F">
              <w:rPr>
                <w:rFonts w:asciiTheme="majorBidi" w:hAnsiTheme="majorBidi" w:cstheme="majorBidi"/>
                <w:i/>
                <w:sz w:val="18"/>
                <w:szCs w:val="18"/>
                <w:lang w:bidi="fr-FR"/>
              </w:rPr>
              <w:tab/>
              <w:t>Renforcement de la coordination interinstitutionnelle.</w:t>
            </w:r>
          </w:p>
        </w:tc>
        <w:tc>
          <w:tcPr>
            <w:tcW w:w="3119" w:type="dxa"/>
            <w:vMerge w:val="restart"/>
            <w:shd w:val="clear" w:color="auto" w:fill="auto"/>
          </w:tcPr>
          <w:p w14:paraId="14CBE7CA"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 xml:space="preserve">Rapport de </w:t>
            </w:r>
            <w:r w:rsidR="00FC0307">
              <w:rPr>
                <w:rFonts w:asciiTheme="majorBidi" w:hAnsiTheme="majorBidi" w:cstheme="majorBidi"/>
                <w:i/>
                <w:sz w:val="18"/>
                <w:szCs w:val="18"/>
                <w:lang w:eastAsia="en-US" w:bidi="fr-FR"/>
              </w:rPr>
              <w:t>révision</w:t>
            </w:r>
          </w:p>
          <w:p w14:paraId="6D87FADC"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 xml:space="preserve">Document </w:t>
            </w:r>
            <w:r w:rsidR="00FC0307">
              <w:rPr>
                <w:rFonts w:asciiTheme="majorBidi" w:hAnsiTheme="majorBidi" w:cstheme="majorBidi"/>
                <w:i/>
                <w:sz w:val="18"/>
                <w:szCs w:val="18"/>
                <w:lang w:eastAsia="en-US" w:bidi="fr-FR"/>
              </w:rPr>
              <w:t>schéma</w:t>
            </w:r>
            <w:r>
              <w:rPr>
                <w:rFonts w:asciiTheme="majorBidi" w:hAnsiTheme="majorBidi" w:cstheme="majorBidi"/>
                <w:i/>
                <w:sz w:val="18"/>
                <w:szCs w:val="18"/>
                <w:lang w:eastAsia="en-US" w:bidi="fr-FR"/>
              </w:rPr>
              <w:t xml:space="preserve"> organisationnel</w:t>
            </w:r>
          </w:p>
          <w:p w14:paraId="14AFB8E5"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Fiche de poste pour les bureaux régionaux</w:t>
            </w:r>
          </w:p>
          <w:p w14:paraId="3454DD1E"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Manuel de procédures du RP juridique</w:t>
            </w:r>
          </w:p>
          <w:p w14:paraId="36B39D05"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Document de stratégie nationale de gestion de contentieux</w:t>
            </w:r>
          </w:p>
          <w:p w14:paraId="239B897B"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fonctionnel de l’observatoire du contentieux e l’Etat</w:t>
            </w:r>
          </w:p>
          <w:p w14:paraId="20F60429"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de coordination institutionnelle</w:t>
            </w:r>
          </w:p>
          <w:p w14:paraId="190A4F85" w14:textId="77777777" w:rsidR="000C40E9" w:rsidRPr="0054502F" w:rsidRDefault="000C40E9" w:rsidP="007B565C">
            <w:pPr>
              <w:autoSpaceDE w:val="0"/>
              <w:autoSpaceDN w:val="0"/>
              <w:adjustRightInd w:val="0"/>
              <w:contextualSpacing/>
              <w:jc w:val="both"/>
              <w:rPr>
                <w:rFonts w:asciiTheme="majorBidi" w:hAnsiTheme="majorBidi" w:cstheme="majorBidi"/>
                <w:i/>
                <w:sz w:val="18"/>
                <w:szCs w:val="18"/>
                <w:lang w:eastAsia="en-US" w:bidi="fr-FR"/>
              </w:rPr>
            </w:pPr>
          </w:p>
        </w:tc>
        <w:tc>
          <w:tcPr>
            <w:tcW w:w="1984" w:type="dxa"/>
            <w:vMerge w:val="restart"/>
            <w:shd w:val="clear" w:color="auto" w:fill="auto"/>
            <w:vAlign w:val="center"/>
          </w:tcPr>
          <w:p w14:paraId="3B9964C1" w14:textId="77777777" w:rsidR="000C40E9" w:rsidRDefault="00FC0307" w:rsidP="00FC0307">
            <w:pPr>
              <w:autoSpaceDE w:val="0"/>
              <w:autoSpaceDN w:val="0"/>
              <w:adjustRightInd w:val="0"/>
              <w:contextualSpacing/>
              <w:jc w:val="both"/>
              <w:rPr>
                <w:rFonts w:asciiTheme="majorBidi" w:hAnsiTheme="majorBidi" w:cstheme="majorBidi"/>
                <w:i/>
                <w:sz w:val="18"/>
                <w:szCs w:val="18"/>
                <w:lang w:eastAsia="en-US" w:bidi="fr-FR"/>
              </w:rPr>
            </w:pPr>
            <w:r w:rsidRPr="00FC0307">
              <w:rPr>
                <w:rFonts w:asciiTheme="majorBidi" w:hAnsiTheme="majorBidi" w:cstheme="majorBidi"/>
                <w:i/>
                <w:sz w:val="18"/>
                <w:szCs w:val="18"/>
                <w:lang w:eastAsia="en-US" w:bidi="fr-FR"/>
              </w:rPr>
              <w:t>disponibilité des ressources</w:t>
            </w:r>
          </w:p>
          <w:p w14:paraId="06BB05E0" w14:textId="77777777" w:rsidR="00FC0307" w:rsidRPr="0054502F" w:rsidRDefault="00FC0307" w:rsidP="00FC0307">
            <w:pPr>
              <w:autoSpaceDE w:val="0"/>
              <w:autoSpaceDN w:val="0"/>
              <w:adjustRightInd w:val="0"/>
              <w:contextualSpacing/>
              <w:jc w:val="both"/>
              <w:rPr>
                <w:rFonts w:asciiTheme="majorBidi" w:hAnsiTheme="majorBidi" w:cstheme="majorBidi"/>
                <w:i/>
                <w:sz w:val="18"/>
                <w:szCs w:val="18"/>
                <w:lang w:bidi="fr-FR"/>
              </w:rPr>
            </w:pPr>
            <w:r w:rsidRPr="00FC0307">
              <w:rPr>
                <w:rFonts w:asciiTheme="majorBidi" w:hAnsiTheme="majorBidi" w:cstheme="majorBidi"/>
                <w:i/>
                <w:sz w:val="18"/>
                <w:szCs w:val="18"/>
                <w:lang w:eastAsia="en-US" w:bidi="fr-FR"/>
              </w:rPr>
              <w:t>conformité aux standards internationaux</w:t>
            </w:r>
          </w:p>
        </w:tc>
        <w:tc>
          <w:tcPr>
            <w:tcW w:w="2127" w:type="dxa"/>
            <w:vMerge w:val="restart"/>
            <w:shd w:val="clear" w:color="auto" w:fill="auto"/>
            <w:vAlign w:val="center"/>
          </w:tcPr>
          <w:p w14:paraId="4FDD19F9" w14:textId="77777777" w:rsidR="000C40E9" w:rsidRDefault="00FC0307" w:rsidP="00FC0307">
            <w:pPr>
              <w:autoSpaceDE w:val="0"/>
              <w:autoSpaceDN w:val="0"/>
              <w:adjustRightInd w:val="0"/>
              <w:contextualSpacing/>
              <w:jc w:val="both"/>
              <w:rPr>
                <w:rFonts w:asciiTheme="majorBidi" w:hAnsiTheme="majorBidi" w:cstheme="majorBidi"/>
                <w:i/>
                <w:sz w:val="18"/>
                <w:szCs w:val="18"/>
                <w:lang w:eastAsia="en-US" w:bidi="fr-FR"/>
              </w:rPr>
            </w:pPr>
            <w:r w:rsidRPr="00FC0307">
              <w:rPr>
                <w:rFonts w:asciiTheme="majorBidi" w:hAnsiTheme="majorBidi" w:cstheme="majorBidi"/>
                <w:i/>
                <w:sz w:val="18"/>
                <w:szCs w:val="18"/>
                <w:lang w:eastAsia="en-US" w:bidi="fr-FR"/>
              </w:rPr>
              <w:t>résistance au changement institutionnel</w:t>
            </w:r>
          </w:p>
          <w:p w14:paraId="703A36C0" w14:textId="77777777" w:rsidR="00FC0307" w:rsidRDefault="00FC0307" w:rsidP="00FC0307">
            <w:pPr>
              <w:autoSpaceDE w:val="0"/>
              <w:autoSpaceDN w:val="0"/>
              <w:adjustRightInd w:val="0"/>
              <w:contextualSpacing/>
              <w:jc w:val="both"/>
              <w:rPr>
                <w:rFonts w:asciiTheme="majorBidi" w:hAnsiTheme="majorBidi" w:cstheme="majorBidi"/>
                <w:i/>
                <w:sz w:val="18"/>
                <w:szCs w:val="18"/>
                <w:lang w:eastAsia="en-US" w:bidi="fr-FR"/>
              </w:rPr>
            </w:pPr>
            <w:r w:rsidRPr="00FC0307">
              <w:rPr>
                <w:rFonts w:asciiTheme="majorBidi" w:hAnsiTheme="majorBidi" w:cstheme="majorBidi"/>
                <w:i/>
                <w:sz w:val="18"/>
                <w:szCs w:val="18"/>
                <w:lang w:eastAsia="en-US" w:bidi="fr-FR"/>
              </w:rPr>
              <w:t>Risque juridique lié à l'insécurité juridique</w:t>
            </w:r>
          </w:p>
          <w:p w14:paraId="04536707" w14:textId="77777777" w:rsidR="00FC0307" w:rsidRPr="0054502F" w:rsidRDefault="00FC0307" w:rsidP="00FC0307">
            <w:pPr>
              <w:autoSpaceDE w:val="0"/>
              <w:autoSpaceDN w:val="0"/>
              <w:adjustRightInd w:val="0"/>
              <w:contextualSpacing/>
              <w:jc w:val="both"/>
              <w:rPr>
                <w:rFonts w:asciiTheme="majorBidi" w:hAnsiTheme="majorBidi" w:cstheme="majorBidi"/>
                <w:i/>
                <w:sz w:val="18"/>
                <w:szCs w:val="18"/>
                <w:lang w:bidi="fr-FR"/>
              </w:rPr>
            </w:pPr>
            <w:r w:rsidRPr="00FC0307">
              <w:rPr>
                <w:rFonts w:asciiTheme="majorBidi" w:hAnsiTheme="majorBidi" w:cstheme="majorBidi"/>
                <w:i/>
                <w:sz w:val="18"/>
                <w:szCs w:val="18"/>
                <w:lang w:eastAsia="en-US" w:bidi="fr-FR"/>
              </w:rPr>
              <w:t>non-exécution des décisions judiciaires</w:t>
            </w:r>
          </w:p>
        </w:tc>
      </w:tr>
      <w:tr w:rsidR="000C40E9" w:rsidRPr="0054502F" w14:paraId="35874EAA" w14:textId="77777777" w:rsidTr="006629D9">
        <w:trPr>
          <w:trHeight w:val="413"/>
        </w:trPr>
        <w:tc>
          <w:tcPr>
            <w:tcW w:w="710" w:type="dxa"/>
            <w:vMerge/>
            <w:shd w:val="clear" w:color="auto" w:fill="auto"/>
            <w:textDirection w:val="btLr"/>
          </w:tcPr>
          <w:p w14:paraId="4C6C20F8" w14:textId="77777777" w:rsidR="000C40E9" w:rsidRPr="0054502F" w:rsidRDefault="000C40E9" w:rsidP="00BA1C19">
            <w:pPr>
              <w:tabs>
                <w:tab w:val="left" w:pos="0"/>
                <w:tab w:val="left" w:pos="132"/>
              </w:tabs>
              <w:ind w:left="113" w:right="113" w:hanging="101"/>
              <w:jc w:val="center"/>
              <w:rPr>
                <w:rFonts w:asciiTheme="majorBidi" w:hAnsiTheme="majorBidi" w:cstheme="majorBidi"/>
                <w:b/>
                <w:i/>
                <w:sz w:val="18"/>
                <w:szCs w:val="18"/>
                <w:lang w:bidi="fr-FR"/>
              </w:rPr>
            </w:pPr>
          </w:p>
        </w:tc>
        <w:tc>
          <w:tcPr>
            <w:tcW w:w="3544" w:type="dxa"/>
            <w:shd w:val="clear" w:color="auto" w:fill="auto"/>
          </w:tcPr>
          <w:p w14:paraId="6B39A7AD" w14:textId="14B0E89A" w:rsidR="000C40E9" w:rsidRPr="0054502F" w:rsidRDefault="00E459AD" w:rsidP="00EC4A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Résultat attendu n°2.2</w:t>
            </w:r>
            <w:r w:rsidR="000C40E9" w:rsidRPr="0054502F">
              <w:rPr>
                <w:rFonts w:asciiTheme="majorBidi" w:hAnsiTheme="majorBidi" w:cstheme="majorBidi"/>
                <w:i/>
                <w:sz w:val="18"/>
                <w:szCs w:val="18"/>
                <w:lang w:bidi="fr-FR"/>
              </w:rPr>
              <w:t xml:space="preserve"> : </w:t>
            </w:r>
            <w:r w:rsidR="00EC4AFC" w:rsidRPr="0054502F">
              <w:rPr>
                <w:rFonts w:asciiTheme="majorBidi" w:hAnsiTheme="majorBidi" w:cstheme="majorBidi"/>
                <w:i/>
                <w:sz w:val="18"/>
                <w:szCs w:val="18"/>
                <w:lang w:bidi="fr-FR"/>
              </w:rPr>
              <w:t>le positionnement stratégique de l’agence est renforcé</w:t>
            </w:r>
            <w:r w:rsidR="000C40E9" w:rsidRPr="0054502F">
              <w:rPr>
                <w:rFonts w:asciiTheme="majorBidi" w:hAnsiTheme="majorBidi" w:cstheme="majorBidi"/>
                <w:i/>
                <w:sz w:val="18"/>
                <w:szCs w:val="18"/>
                <w:lang w:bidi="fr-FR"/>
              </w:rPr>
              <w:t>.</w:t>
            </w:r>
          </w:p>
        </w:tc>
        <w:tc>
          <w:tcPr>
            <w:tcW w:w="4110" w:type="dxa"/>
            <w:vMerge/>
            <w:shd w:val="clear" w:color="auto" w:fill="auto"/>
          </w:tcPr>
          <w:p w14:paraId="1DE29308" w14:textId="77777777" w:rsidR="000C40E9" w:rsidRPr="0054502F" w:rsidRDefault="000C40E9" w:rsidP="00302AF8">
            <w:pPr>
              <w:autoSpaceDE w:val="0"/>
              <w:autoSpaceDN w:val="0"/>
              <w:adjustRightInd w:val="0"/>
              <w:jc w:val="both"/>
              <w:rPr>
                <w:rFonts w:asciiTheme="majorBidi" w:hAnsiTheme="majorBidi" w:cstheme="majorBidi"/>
                <w:i/>
                <w:sz w:val="18"/>
                <w:szCs w:val="18"/>
                <w:lang w:bidi="fr-FR"/>
              </w:rPr>
            </w:pPr>
          </w:p>
        </w:tc>
        <w:tc>
          <w:tcPr>
            <w:tcW w:w="3119" w:type="dxa"/>
            <w:vMerge/>
            <w:shd w:val="clear" w:color="auto" w:fill="auto"/>
          </w:tcPr>
          <w:p w14:paraId="182F6510" w14:textId="77777777" w:rsidR="000C40E9" w:rsidRPr="0054502F" w:rsidRDefault="000C40E9" w:rsidP="007B565C">
            <w:pPr>
              <w:autoSpaceDE w:val="0"/>
              <w:autoSpaceDN w:val="0"/>
              <w:adjustRightInd w:val="0"/>
              <w:contextualSpacing/>
              <w:jc w:val="both"/>
              <w:rPr>
                <w:rFonts w:asciiTheme="majorBidi" w:hAnsiTheme="majorBidi" w:cstheme="majorBidi"/>
                <w:i/>
                <w:sz w:val="18"/>
                <w:szCs w:val="18"/>
                <w:lang w:eastAsia="en-US" w:bidi="fr-FR"/>
              </w:rPr>
            </w:pPr>
          </w:p>
        </w:tc>
        <w:tc>
          <w:tcPr>
            <w:tcW w:w="1984" w:type="dxa"/>
            <w:vMerge/>
            <w:shd w:val="clear" w:color="auto" w:fill="auto"/>
            <w:vAlign w:val="center"/>
          </w:tcPr>
          <w:p w14:paraId="6D44D167" w14:textId="77777777" w:rsidR="000C40E9" w:rsidRPr="0054502F" w:rsidRDefault="000C40E9">
            <w:pPr>
              <w:autoSpaceDE w:val="0"/>
              <w:autoSpaceDN w:val="0"/>
              <w:adjustRightInd w:val="0"/>
              <w:jc w:val="center"/>
              <w:rPr>
                <w:rFonts w:asciiTheme="majorBidi" w:hAnsiTheme="majorBidi" w:cstheme="majorBidi"/>
                <w:i/>
                <w:sz w:val="18"/>
                <w:szCs w:val="18"/>
                <w:lang w:bidi="fr-FR"/>
              </w:rPr>
            </w:pPr>
          </w:p>
        </w:tc>
        <w:tc>
          <w:tcPr>
            <w:tcW w:w="2127" w:type="dxa"/>
            <w:vMerge/>
            <w:shd w:val="clear" w:color="auto" w:fill="auto"/>
            <w:vAlign w:val="center"/>
          </w:tcPr>
          <w:p w14:paraId="04225E46" w14:textId="77777777" w:rsidR="000C40E9" w:rsidRPr="0054502F" w:rsidRDefault="000C40E9">
            <w:pPr>
              <w:autoSpaceDE w:val="0"/>
              <w:autoSpaceDN w:val="0"/>
              <w:adjustRightInd w:val="0"/>
              <w:jc w:val="center"/>
              <w:rPr>
                <w:rFonts w:asciiTheme="majorBidi" w:hAnsiTheme="majorBidi" w:cstheme="majorBidi"/>
                <w:i/>
                <w:sz w:val="18"/>
                <w:szCs w:val="18"/>
                <w:lang w:bidi="fr-FR"/>
              </w:rPr>
            </w:pPr>
          </w:p>
        </w:tc>
      </w:tr>
      <w:tr w:rsidR="00E84C56" w:rsidRPr="0054502F" w14:paraId="7FAD0F83" w14:textId="77777777" w:rsidTr="002342E6">
        <w:trPr>
          <w:trHeight w:val="413"/>
        </w:trPr>
        <w:tc>
          <w:tcPr>
            <w:tcW w:w="710" w:type="dxa"/>
            <w:vMerge/>
            <w:shd w:val="clear" w:color="auto" w:fill="auto"/>
            <w:textDirection w:val="btLr"/>
          </w:tcPr>
          <w:p w14:paraId="22E1A22E" w14:textId="77777777" w:rsidR="00E84C56" w:rsidRPr="0054502F" w:rsidRDefault="00E84C56" w:rsidP="00BA1C19">
            <w:pPr>
              <w:tabs>
                <w:tab w:val="left" w:pos="0"/>
                <w:tab w:val="left" w:pos="132"/>
              </w:tabs>
              <w:ind w:left="113" w:right="113" w:hanging="101"/>
              <w:jc w:val="center"/>
              <w:rPr>
                <w:rFonts w:asciiTheme="majorBidi" w:hAnsiTheme="majorBidi" w:cstheme="majorBidi"/>
                <w:b/>
                <w:i/>
                <w:sz w:val="18"/>
                <w:szCs w:val="18"/>
                <w:lang w:bidi="fr-FR"/>
              </w:rPr>
            </w:pPr>
          </w:p>
        </w:tc>
        <w:tc>
          <w:tcPr>
            <w:tcW w:w="14884" w:type="dxa"/>
            <w:gridSpan w:val="5"/>
            <w:shd w:val="clear" w:color="auto" w:fill="EEECE1" w:themeFill="background2"/>
          </w:tcPr>
          <w:p w14:paraId="4517910F" w14:textId="77777777" w:rsidR="002342E6" w:rsidRPr="0054502F" w:rsidRDefault="002342E6" w:rsidP="002342E6">
            <w:pPr>
              <w:autoSpaceDE w:val="0"/>
              <w:autoSpaceDN w:val="0"/>
              <w:adjustRightInd w:val="0"/>
              <w:rPr>
                <w:rFonts w:asciiTheme="majorBidi" w:hAnsiTheme="majorBidi" w:cstheme="majorBidi"/>
                <w:b/>
                <w:bCs/>
                <w:i/>
                <w:sz w:val="18"/>
                <w:szCs w:val="18"/>
                <w:lang w:bidi="fr-FR"/>
              </w:rPr>
            </w:pPr>
            <w:r w:rsidRPr="0054502F">
              <w:rPr>
                <w:rFonts w:asciiTheme="majorBidi" w:hAnsiTheme="majorBidi" w:cstheme="majorBidi"/>
                <w:b/>
                <w:bCs/>
                <w:i/>
                <w:sz w:val="18"/>
                <w:szCs w:val="18"/>
                <w:lang w:bidi="fr-FR"/>
              </w:rPr>
              <w:t>Volet 3 : Modes alternatifs de règlement des litiges (MARL) et rédaction des contrats</w:t>
            </w:r>
          </w:p>
          <w:p w14:paraId="3424B7D4" w14:textId="77777777" w:rsidR="00E84C56" w:rsidRPr="0054502F" w:rsidRDefault="00E84C56" w:rsidP="002342E6">
            <w:pPr>
              <w:autoSpaceDE w:val="0"/>
              <w:autoSpaceDN w:val="0"/>
              <w:adjustRightInd w:val="0"/>
              <w:jc w:val="center"/>
              <w:rPr>
                <w:rFonts w:asciiTheme="majorBidi" w:hAnsiTheme="majorBidi" w:cstheme="majorBidi"/>
                <w:b/>
                <w:bCs/>
                <w:i/>
                <w:sz w:val="18"/>
                <w:szCs w:val="18"/>
                <w:lang w:bidi="fr-FR"/>
              </w:rPr>
            </w:pPr>
          </w:p>
        </w:tc>
      </w:tr>
      <w:tr w:rsidR="006A5E37" w:rsidRPr="0054502F" w14:paraId="5410AA53" w14:textId="77777777" w:rsidTr="005F6788">
        <w:trPr>
          <w:trHeight w:val="413"/>
        </w:trPr>
        <w:tc>
          <w:tcPr>
            <w:tcW w:w="710" w:type="dxa"/>
            <w:vMerge/>
            <w:shd w:val="clear" w:color="auto" w:fill="auto"/>
            <w:textDirection w:val="btLr"/>
          </w:tcPr>
          <w:p w14:paraId="2D390A14" w14:textId="77777777" w:rsidR="006A5E37" w:rsidRPr="0054502F" w:rsidRDefault="006A5E37" w:rsidP="00BA1C19">
            <w:pPr>
              <w:tabs>
                <w:tab w:val="left" w:pos="0"/>
                <w:tab w:val="left" w:pos="132"/>
              </w:tabs>
              <w:ind w:left="113" w:right="113" w:hanging="101"/>
              <w:jc w:val="center"/>
              <w:rPr>
                <w:rFonts w:asciiTheme="majorBidi" w:hAnsiTheme="majorBidi" w:cstheme="majorBidi"/>
                <w:b/>
                <w:i/>
                <w:sz w:val="18"/>
                <w:szCs w:val="18"/>
                <w:lang w:bidi="fr-FR"/>
              </w:rPr>
            </w:pPr>
          </w:p>
        </w:tc>
        <w:tc>
          <w:tcPr>
            <w:tcW w:w="3544" w:type="dxa"/>
            <w:shd w:val="clear" w:color="auto" w:fill="auto"/>
          </w:tcPr>
          <w:p w14:paraId="004473EA" w14:textId="77777777" w:rsidR="006A5E37" w:rsidRPr="0054502F" w:rsidRDefault="002342E6" w:rsidP="005A40D7">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Résultat attendu n°3 : les compétences de l’Agence en matière de MARL sont renforcées</w:t>
            </w:r>
          </w:p>
        </w:tc>
        <w:tc>
          <w:tcPr>
            <w:tcW w:w="4110" w:type="dxa"/>
            <w:shd w:val="clear" w:color="auto" w:fill="auto"/>
          </w:tcPr>
          <w:p w14:paraId="5D1F98E5" w14:textId="64C03559"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3.1 :</w:t>
            </w:r>
            <w:r w:rsidR="0054502F" w:rsidRPr="0054502F">
              <w:rPr>
                <w:rFonts w:asciiTheme="majorBidi" w:hAnsiTheme="majorBidi" w:cstheme="majorBidi"/>
                <w:i/>
                <w:sz w:val="18"/>
                <w:szCs w:val="18"/>
                <w:lang w:bidi="fr-FR"/>
              </w:rPr>
              <w:tab/>
              <w:t>Trois modules de formation sont élaborés et réalisés sur les MARL, l’arbitrage et la gestion des différends dans les contrats publics.</w:t>
            </w:r>
          </w:p>
          <w:p w14:paraId="20396E93" w14:textId="5D0199C3"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3.2 :</w:t>
            </w:r>
            <w:r w:rsidR="0054502F" w:rsidRPr="0054502F">
              <w:rPr>
                <w:rFonts w:asciiTheme="majorBidi" w:hAnsiTheme="majorBidi" w:cstheme="majorBidi"/>
                <w:i/>
                <w:sz w:val="18"/>
                <w:szCs w:val="18"/>
                <w:lang w:bidi="fr-FR"/>
              </w:rPr>
              <w:t>-</w:t>
            </w:r>
            <w:r w:rsidR="0054502F" w:rsidRPr="0054502F">
              <w:rPr>
                <w:rFonts w:asciiTheme="majorBidi" w:hAnsiTheme="majorBidi" w:cstheme="majorBidi"/>
                <w:i/>
                <w:sz w:val="18"/>
                <w:szCs w:val="18"/>
                <w:lang w:bidi="fr-FR"/>
              </w:rPr>
              <w:tab/>
              <w:t>Au moins trois guides ou modèles types de contrats sont produits, incluant des clauses sur l’arbitrage, la force majeure et les immunités de juridiction.</w:t>
            </w:r>
          </w:p>
          <w:p w14:paraId="5653B60C" w14:textId="0945D5C0" w:rsidR="006A5E37"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3.3 :</w:t>
            </w:r>
            <w:r w:rsidR="0054502F" w:rsidRPr="0054502F">
              <w:rPr>
                <w:rFonts w:asciiTheme="majorBidi" w:hAnsiTheme="majorBidi" w:cstheme="majorBidi"/>
                <w:i/>
                <w:sz w:val="18"/>
                <w:szCs w:val="18"/>
                <w:lang w:bidi="fr-FR"/>
              </w:rPr>
              <w:tab/>
              <w:t>Un minimum de 40 cadres juridiques et administratifs bénéficient d’une formation ciblée sur les bonnes pratiques contractuelles observées dans les États membres de l’UE.</w:t>
            </w:r>
          </w:p>
        </w:tc>
        <w:tc>
          <w:tcPr>
            <w:tcW w:w="3119" w:type="dxa"/>
            <w:shd w:val="clear" w:color="auto" w:fill="auto"/>
          </w:tcPr>
          <w:p w14:paraId="647BD07C" w14:textId="77777777" w:rsidR="006A5E37"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Plan de formation</w:t>
            </w:r>
          </w:p>
          <w:p w14:paraId="7CFA14FD"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Fiche d’évaluation</w:t>
            </w:r>
          </w:p>
          <w:p w14:paraId="210415FD"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Guides établis</w:t>
            </w:r>
          </w:p>
          <w:p w14:paraId="34CC49ED" w14:textId="77777777" w:rsidR="000C40E9" w:rsidRPr="0054502F"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de formation</w:t>
            </w:r>
          </w:p>
        </w:tc>
        <w:tc>
          <w:tcPr>
            <w:tcW w:w="1984" w:type="dxa"/>
            <w:shd w:val="clear" w:color="auto" w:fill="auto"/>
          </w:tcPr>
          <w:p w14:paraId="1C3CD9B9" w14:textId="77777777" w:rsidR="006A5E37" w:rsidRPr="0054502F" w:rsidRDefault="005F6788" w:rsidP="005F6788">
            <w:pPr>
              <w:autoSpaceDE w:val="0"/>
              <w:autoSpaceDN w:val="0"/>
              <w:adjustRightInd w:val="0"/>
              <w:contextualSpacing/>
              <w:rPr>
                <w:rFonts w:asciiTheme="majorBidi" w:hAnsiTheme="majorBidi" w:cstheme="majorBidi"/>
                <w:i/>
                <w:sz w:val="18"/>
                <w:szCs w:val="18"/>
                <w:lang w:bidi="fr-FR"/>
              </w:rPr>
            </w:pPr>
            <w:r w:rsidRPr="005F6788">
              <w:rPr>
                <w:rFonts w:asciiTheme="majorBidi" w:hAnsiTheme="majorBidi" w:cstheme="majorBidi"/>
                <w:i/>
                <w:sz w:val="18"/>
                <w:szCs w:val="18"/>
                <w:lang w:eastAsia="en-US" w:bidi="fr-FR"/>
              </w:rPr>
              <w:t>formation continue</w:t>
            </w:r>
          </w:p>
        </w:tc>
        <w:tc>
          <w:tcPr>
            <w:tcW w:w="2127" w:type="dxa"/>
            <w:shd w:val="clear" w:color="auto" w:fill="auto"/>
          </w:tcPr>
          <w:p w14:paraId="657952C4" w14:textId="77777777" w:rsidR="006A5E37" w:rsidRDefault="005261DD" w:rsidP="005261DD">
            <w:pPr>
              <w:autoSpaceDE w:val="0"/>
              <w:autoSpaceDN w:val="0"/>
              <w:adjustRightInd w:val="0"/>
              <w:contextualSpacing/>
              <w:rPr>
                <w:rFonts w:asciiTheme="majorBidi" w:hAnsiTheme="majorBidi" w:cstheme="majorBidi"/>
                <w:i/>
                <w:sz w:val="18"/>
                <w:szCs w:val="18"/>
                <w:lang w:eastAsia="en-US" w:bidi="fr-FR"/>
              </w:rPr>
            </w:pPr>
            <w:r w:rsidRPr="005261DD">
              <w:rPr>
                <w:rFonts w:asciiTheme="majorBidi" w:hAnsiTheme="majorBidi" w:cstheme="majorBidi"/>
                <w:i/>
                <w:sz w:val="18"/>
                <w:szCs w:val="18"/>
                <w:lang w:eastAsia="en-US" w:bidi="fr-FR"/>
              </w:rPr>
              <w:t xml:space="preserve">Faible motivation des participants aux ateliers de </w:t>
            </w:r>
            <w:r>
              <w:rPr>
                <w:rFonts w:asciiTheme="majorBidi" w:hAnsiTheme="majorBidi" w:cstheme="majorBidi"/>
                <w:i/>
                <w:sz w:val="18"/>
                <w:szCs w:val="18"/>
                <w:lang w:eastAsia="en-US" w:bidi="fr-FR"/>
              </w:rPr>
              <w:t>formation</w:t>
            </w:r>
          </w:p>
          <w:p w14:paraId="7A690AC2" w14:textId="77777777" w:rsidR="005261DD" w:rsidRDefault="005261DD" w:rsidP="005261DD">
            <w:pPr>
              <w:autoSpaceDE w:val="0"/>
              <w:autoSpaceDN w:val="0"/>
              <w:adjustRightInd w:val="0"/>
              <w:contextualSpacing/>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Disponibilité des participants</w:t>
            </w:r>
          </w:p>
          <w:p w14:paraId="2ACEA159" w14:textId="77777777" w:rsidR="005F6788" w:rsidRPr="0054502F" w:rsidRDefault="005F6788" w:rsidP="005261DD">
            <w:pPr>
              <w:autoSpaceDE w:val="0"/>
              <w:autoSpaceDN w:val="0"/>
              <w:adjustRightInd w:val="0"/>
              <w:contextualSpacing/>
              <w:rPr>
                <w:rFonts w:asciiTheme="majorBidi" w:hAnsiTheme="majorBidi" w:cstheme="majorBidi"/>
                <w:i/>
                <w:sz w:val="18"/>
                <w:szCs w:val="18"/>
                <w:lang w:eastAsia="en-US" w:bidi="fr-FR"/>
              </w:rPr>
            </w:pPr>
            <w:r w:rsidRPr="005F6788">
              <w:rPr>
                <w:rFonts w:asciiTheme="majorBidi" w:hAnsiTheme="majorBidi" w:cstheme="majorBidi"/>
                <w:i/>
                <w:sz w:val="18"/>
                <w:szCs w:val="18"/>
                <w:lang w:eastAsia="en-US" w:bidi="fr-FR"/>
              </w:rPr>
              <w:t>manque de formation spécialisée</w:t>
            </w:r>
          </w:p>
        </w:tc>
      </w:tr>
      <w:tr w:rsidR="00E84C56" w:rsidRPr="0054502F" w14:paraId="573E6B99" w14:textId="77777777" w:rsidTr="002342E6">
        <w:trPr>
          <w:trHeight w:val="413"/>
        </w:trPr>
        <w:tc>
          <w:tcPr>
            <w:tcW w:w="710" w:type="dxa"/>
            <w:vMerge/>
            <w:shd w:val="clear" w:color="auto" w:fill="auto"/>
            <w:textDirection w:val="btLr"/>
          </w:tcPr>
          <w:p w14:paraId="1E630793" w14:textId="77777777" w:rsidR="00E84C56" w:rsidRPr="0054502F" w:rsidRDefault="00E84C56" w:rsidP="00BA1C19">
            <w:pPr>
              <w:tabs>
                <w:tab w:val="left" w:pos="0"/>
                <w:tab w:val="left" w:pos="132"/>
              </w:tabs>
              <w:ind w:left="113" w:right="113" w:hanging="101"/>
              <w:jc w:val="center"/>
              <w:rPr>
                <w:rFonts w:asciiTheme="majorBidi" w:hAnsiTheme="majorBidi" w:cstheme="majorBidi"/>
                <w:b/>
                <w:i/>
                <w:sz w:val="18"/>
                <w:szCs w:val="18"/>
                <w:lang w:bidi="fr-FR"/>
              </w:rPr>
            </w:pPr>
          </w:p>
        </w:tc>
        <w:tc>
          <w:tcPr>
            <w:tcW w:w="14884" w:type="dxa"/>
            <w:gridSpan w:val="5"/>
            <w:shd w:val="clear" w:color="auto" w:fill="EEECE1" w:themeFill="background2"/>
          </w:tcPr>
          <w:p w14:paraId="58264893" w14:textId="77777777" w:rsidR="002342E6" w:rsidRPr="0054502F" w:rsidRDefault="002342E6" w:rsidP="002342E6">
            <w:pPr>
              <w:autoSpaceDE w:val="0"/>
              <w:autoSpaceDN w:val="0"/>
              <w:adjustRightInd w:val="0"/>
              <w:rPr>
                <w:rFonts w:asciiTheme="majorBidi" w:hAnsiTheme="majorBidi" w:cstheme="majorBidi"/>
                <w:b/>
                <w:bCs/>
                <w:i/>
                <w:sz w:val="18"/>
                <w:szCs w:val="18"/>
                <w:lang w:bidi="fr-FR"/>
              </w:rPr>
            </w:pPr>
            <w:r w:rsidRPr="0054502F">
              <w:rPr>
                <w:rFonts w:asciiTheme="majorBidi" w:hAnsiTheme="majorBidi" w:cstheme="majorBidi"/>
                <w:b/>
                <w:bCs/>
                <w:i/>
                <w:sz w:val="18"/>
                <w:szCs w:val="18"/>
                <w:lang w:bidi="fr-FR"/>
              </w:rPr>
              <w:t>Volet 4 : Renforcement des compétences et développement institutionnel</w:t>
            </w:r>
          </w:p>
          <w:p w14:paraId="4FBB15C1" w14:textId="77777777" w:rsidR="00E84C56" w:rsidRPr="0054502F" w:rsidRDefault="00E84C56" w:rsidP="002342E6">
            <w:pPr>
              <w:autoSpaceDE w:val="0"/>
              <w:autoSpaceDN w:val="0"/>
              <w:adjustRightInd w:val="0"/>
              <w:jc w:val="center"/>
              <w:rPr>
                <w:rFonts w:asciiTheme="majorBidi" w:hAnsiTheme="majorBidi" w:cstheme="majorBidi"/>
                <w:i/>
                <w:sz w:val="18"/>
                <w:szCs w:val="18"/>
                <w:lang w:bidi="fr-FR"/>
              </w:rPr>
            </w:pPr>
          </w:p>
        </w:tc>
      </w:tr>
      <w:tr w:rsidR="006A5E37" w:rsidRPr="0054502F" w14:paraId="4957E3AA" w14:textId="77777777" w:rsidTr="006629D9">
        <w:trPr>
          <w:trHeight w:val="413"/>
        </w:trPr>
        <w:tc>
          <w:tcPr>
            <w:tcW w:w="710" w:type="dxa"/>
            <w:vMerge/>
            <w:shd w:val="clear" w:color="auto" w:fill="auto"/>
            <w:textDirection w:val="btLr"/>
          </w:tcPr>
          <w:p w14:paraId="10B2A84C" w14:textId="77777777" w:rsidR="006A5E37" w:rsidRPr="0054502F" w:rsidRDefault="006A5E37" w:rsidP="00BA1C19">
            <w:pPr>
              <w:tabs>
                <w:tab w:val="left" w:pos="0"/>
                <w:tab w:val="left" w:pos="132"/>
              </w:tabs>
              <w:ind w:left="113" w:right="113" w:hanging="101"/>
              <w:jc w:val="center"/>
              <w:rPr>
                <w:rFonts w:asciiTheme="majorBidi" w:hAnsiTheme="majorBidi" w:cstheme="majorBidi"/>
                <w:b/>
                <w:i/>
                <w:sz w:val="18"/>
                <w:szCs w:val="18"/>
                <w:lang w:bidi="fr-FR"/>
              </w:rPr>
            </w:pPr>
          </w:p>
        </w:tc>
        <w:tc>
          <w:tcPr>
            <w:tcW w:w="3544" w:type="dxa"/>
            <w:shd w:val="clear" w:color="auto" w:fill="auto"/>
          </w:tcPr>
          <w:p w14:paraId="30EF2BAD" w14:textId="77777777" w:rsidR="006A5E37" w:rsidRPr="0054502F" w:rsidRDefault="002342E6" w:rsidP="002342E6">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Résultat attendu n°4 : les compétences des ressources humaines de l’AJR sont renforcées.</w:t>
            </w:r>
          </w:p>
        </w:tc>
        <w:tc>
          <w:tcPr>
            <w:tcW w:w="4110" w:type="dxa"/>
            <w:shd w:val="clear" w:color="auto" w:fill="auto"/>
          </w:tcPr>
          <w:p w14:paraId="626B4AEF" w14:textId="5BCD3022"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4.1 :</w:t>
            </w:r>
            <w:r w:rsidR="0054502F" w:rsidRPr="0054502F">
              <w:rPr>
                <w:rFonts w:asciiTheme="majorBidi" w:hAnsiTheme="majorBidi" w:cstheme="majorBidi"/>
                <w:i/>
                <w:sz w:val="18"/>
                <w:szCs w:val="18"/>
                <w:lang w:bidi="fr-FR"/>
              </w:rPr>
              <w:tab/>
              <w:t>Un plan global de formation continue est élaboré sur la base d’un diagnostic des besoins et validé par l’encadrement supérieur de l’Agence.</w:t>
            </w:r>
          </w:p>
          <w:p w14:paraId="4926B0C7" w14:textId="686D1CD2"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4.2 : </w:t>
            </w:r>
            <w:r w:rsidR="0054502F" w:rsidRPr="0054502F">
              <w:rPr>
                <w:rFonts w:asciiTheme="majorBidi" w:hAnsiTheme="majorBidi" w:cstheme="majorBidi"/>
                <w:i/>
                <w:sz w:val="18"/>
                <w:szCs w:val="18"/>
                <w:lang w:bidi="fr-FR"/>
              </w:rPr>
              <w:t>Trois modules de formation sont dispensés avec support numérique, intégrant les apports de la mission d’étude et les recommandations du benchmarking européen.</w:t>
            </w:r>
          </w:p>
          <w:p w14:paraId="6C58A918" w14:textId="027FB22F"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4.3 : </w:t>
            </w:r>
            <w:r w:rsidR="0054502F" w:rsidRPr="0054502F">
              <w:rPr>
                <w:rFonts w:asciiTheme="majorBidi" w:hAnsiTheme="majorBidi" w:cstheme="majorBidi"/>
                <w:i/>
                <w:sz w:val="18"/>
                <w:szCs w:val="18"/>
                <w:lang w:bidi="fr-FR"/>
              </w:rPr>
              <w:t>Appui à l'établissement d'une base de données nationale sur les litiges de l'État, ouverte aux administrations impliquées.</w:t>
            </w:r>
          </w:p>
          <w:p w14:paraId="205BDFA7" w14:textId="69A1E13B"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4.4 : </w:t>
            </w:r>
            <w:r w:rsidR="0054502F" w:rsidRPr="0054502F">
              <w:rPr>
                <w:rFonts w:asciiTheme="majorBidi" w:hAnsiTheme="majorBidi" w:cstheme="majorBidi"/>
                <w:i/>
                <w:sz w:val="18"/>
                <w:szCs w:val="18"/>
                <w:lang w:bidi="fr-FR"/>
              </w:rPr>
              <w:t>Assistance pour l'implémentation d'une plateforme digitale de gestion, suivi et archivage des dossiers (type SIGEC - Système Intégré de Gestion du Contentieux).</w:t>
            </w:r>
          </w:p>
          <w:p w14:paraId="7F9FCCBA" w14:textId="015A8CB8"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4.5 : </w:t>
            </w:r>
            <w:r w:rsidR="0054502F" w:rsidRPr="0054502F">
              <w:rPr>
                <w:rFonts w:asciiTheme="majorBidi" w:hAnsiTheme="majorBidi" w:cstheme="majorBidi"/>
                <w:i/>
                <w:sz w:val="18"/>
                <w:szCs w:val="18"/>
                <w:lang w:bidi="fr-FR"/>
              </w:rPr>
              <w:t>Accroître l'usage de l'intelligence artificielle juridique pour examiner les tendances litigieuses et repérer les foyers de conflits récurrents.</w:t>
            </w:r>
          </w:p>
          <w:p w14:paraId="307DEB37" w14:textId="5172C25F" w:rsidR="006A5E37"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4.6 : </w:t>
            </w:r>
            <w:r w:rsidR="0054502F" w:rsidRPr="0054502F">
              <w:rPr>
                <w:rFonts w:asciiTheme="majorBidi" w:hAnsiTheme="majorBidi" w:cstheme="majorBidi"/>
                <w:i/>
                <w:sz w:val="18"/>
                <w:szCs w:val="18"/>
                <w:lang w:bidi="fr-FR"/>
              </w:rPr>
              <w:t>Création d'un tableau de bord de performance comprenant des indicateurs tels que le taux de succès judiciaire, la durée moyenne de traitement et le coût des litiges, entre autres.</w:t>
            </w:r>
          </w:p>
        </w:tc>
        <w:tc>
          <w:tcPr>
            <w:tcW w:w="3119" w:type="dxa"/>
            <w:shd w:val="clear" w:color="auto" w:fill="auto"/>
          </w:tcPr>
          <w:p w14:paraId="69B56955" w14:textId="77777777" w:rsidR="006A5E37"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Plan de formation</w:t>
            </w:r>
          </w:p>
          <w:p w14:paraId="6F96BF3D"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Fiche d’évaluation</w:t>
            </w:r>
          </w:p>
          <w:p w14:paraId="05336D71"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sur la base de donne</w:t>
            </w:r>
          </w:p>
          <w:p w14:paraId="20FA3948" w14:textId="77777777" w:rsidR="000C40E9"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Rapport sur l’implémentation de la plateforme digitale</w:t>
            </w:r>
          </w:p>
          <w:p w14:paraId="3A743F98" w14:textId="77777777" w:rsidR="000C40E9" w:rsidRPr="0054502F" w:rsidRDefault="000C40E9" w:rsidP="007B565C">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Tableau de bord</w:t>
            </w:r>
          </w:p>
        </w:tc>
        <w:tc>
          <w:tcPr>
            <w:tcW w:w="1984" w:type="dxa"/>
            <w:shd w:val="clear" w:color="auto" w:fill="auto"/>
            <w:vAlign w:val="center"/>
          </w:tcPr>
          <w:p w14:paraId="18B88C27" w14:textId="77777777" w:rsidR="006A5E37" w:rsidRPr="0054502F" w:rsidRDefault="002D29EA" w:rsidP="002D29EA">
            <w:pPr>
              <w:autoSpaceDE w:val="0"/>
              <w:autoSpaceDN w:val="0"/>
              <w:adjustRightInd w:val="0"/>
              <w:contextualSpacing/>
              <w:rPr>
                <w:rFonts w:asciiTheme="majorBidi" w:hAnsiTheme="majorBidi" w:cstheme="majorBidi"/>
                <w:i/>
                <w:sz w:val="18"/>
                <w:szCs w:val="18"/>
                <w:lang w:bidi="fr-FR"/>
              </w:rPr>
            </w:pPr>
            <w:r>
              <w:rPr>
                <w:rFonts w:asciiTheme="majorBidi" w:hAnsiTheme="majorBidi" w:cstheme="majorBidi"/>
                <w:i/>
                <w:sz w:val="18"/>
                <w:szCs w:val="18"/>
                <w:lang w:eastAsia="en-US" w:bidi="fr-FR"/>
              </w:rPr>
              <w:t>formation continue</w:t>
            </w:r>
          </w:p>
        </w:tc>
        <w:tc>
          <w:tcPr>
            <w:tcW w:w="2127" w:type="dxa"/>
            <w:shd w:val="clear" w:color="auto" w:fill="auto"/>
            <w:vAlign w:val="center"/>
          </w:tcPr>
          <w:p w14:paraId="7AE57727" w14:textId="77777777" w:rsidR="002D29EA" w:rsidRPr="002D29EA" w:rsidRDefault="002D29EA" w:rsidP="002D29EA">
            <w:pPr>
              <w:autoSpaceDE w:val="0"/>
              <w:autoSpaceDN w:val="0"/>
              <w:adjustRightInd w:val="0"/>
              <w:contextualSpacing/>
              <w:jc w:val="both"/>
              <w:rPr>
                <w:rFonts w:asciiTheme="majorBidi" w:hAnsiTheme="majorBidi" w:cstheme="majorBidi"/>
                <w:i/>
                <w:sz w:val="18"/>
                <w:szCs w:val="18"/>
                <w:lang w:eastAsia="en-US" w:bidi="fr-FR"/>
              </w:rPr>
            </w:pPr>
            <w:r w:rsidRPr="002D29EA">
              <w:rPr>
                <w:rFonts w:asciiTheme="majorBidi" w:hAnsiTheme="majorBidi" w:cstheme="majorBidi"/>
                <w:i/>
                <w:sz w:val="18"/>
                <w:szCs w:val="18"/>
                <w:lang w:eastAsia="en-US" w:bidi="fr-FR"/>
              </w:rPr>
              <w:t>Faible motivation des participants aux ateliers de formation</w:t>
            </w:r>
          </w:p>
          <w:p w14:paraId="5018FBD8" w14:textId="77777777" w:rsidR="002D29EA" w:rsidRPr="002D29EA" w:rsidRDefault="002D29EA" w:rsidP="002D29EA">
            <w:pPr>
              <w:autoSpaceDE w:val="0"/>
              <w:autoSpaceDN w:val="0"/>
              <w:adjustRightInd w:val="0"/>
              <w:contextualSpacing/>
              <w:jc w:val="both"/>
              <w:rPr>
                <w:rFonts w:asciiTheme="majorBidi" w:hAnsiTheme="majorBidi" w:cstheme="majorBidi"/>
                <w:i/>
                <w:sz w:val="18"/>
                <w:szCs w:val="18"/>
                <w:lang w:eastAsia="en-US" w:bidi="fr-FR"/>
              </w:rPr>
            </w:pPr>
            <w:r w:rsidRPr="002D29EA">
              <w:rPr>
                <w:rFonts w:asciiTheme="majorBidi" w:hAnsiTheme="majorBidi" w:cstheme="majorBidi"/>
                <w:i/>
                <w:sz w:val="18"/>
                <w:szCs w:val="18"/>
                <w:lang w:eastAsia="en-US" w:bidi="fr-FR"/>
              </w:rPr>
              <w:t>Disponibilité des participants</w:t>
            </w:r>
          </w:p>
          <w:p w14:paraId="69825DDD" w14:textId="77777777" w:rsidR="006A5E37" w:rsidRPr="0054502F" w:rsidRDefault="002D29EA" w:rsidP="002D29EA">
            <w:pPr>
              <w:autoSpaceDE w:val="0"/>
              <w:autoSpaceDN w:val="0"/>
              <w:adjustRightInd w:val="0"/>
              <w:contextualSpacing/>
              <w:jc w:val="both"/>
              <w:rPr>
                <w:rFonts w:asciiTheme="majorBidi" w:hAnsiTheme="majorBidi" w:cstheme="majorBidi"/>
                <w:i/>
                <w:sz w:val="18"/>
                <w:szCs w:val="18"/>
                <w:lang w:bidi="fr-FR"/>
              </w:rPr>
            </w:pPr>
            <w:r w:rsidRPr="002D29EA">
              <w:rPr>
                <w:rFonts w:asciiTheme="majorBidi" w:hAnsiTheme="majorBidi" w:cstheme="majorBidi"/>
                <w:i/>
                <w:sz w:val="18"/>
                <w:szCs w:val="18"/>
                <w:lang w:eastAsia="en-US" w:bidi="fr-FR"/>
              </w:rPr>
              <w:t>manque de formation spécialisée</w:t>
            </w:r>
          </w:p>
        </w:tc>
      </w:tr>
      <w:tr w:rsidR="00E84C56" w:rsidRPr="0054502F" w14:paraId="7350AEEE" w14:textId="77777777" w:rsidTr="002342E6">
        <w:trPr>
          <w:trHeight w:val="413"/>
        </w:trPr>
        <w:tc>
          <w:tcPr>
            <w:tcW w:w="710" w:type="dxa"/>
            <w:shd w:val="clear" w:color="auto" w:fill="auto"/>
            <w:textDirection w:val="btLr"/>
          </w:tcPr>
          <w:p w14:paraId="4BC5DEAD" w14:textId="77777777" w:rsidR="00E84C56" w:rsidRPr="0054502F" w:rsidRDefault="00E84C56" w:rsidP="00BA1C19">
            <w:pPr>
              <w:tabs>
                <w:tab w:val="left" w:pos="0"/>
                <w:tab w:val="left" w:pos="132"/>
              </w:tabs>
              <w:ind w:left="113" w:right="113" w:hanging="101"/>
              <w:jc w:val="center"/>
              <w:rPr>
                <w:rFonts w:asciiTheme="majorBidi" w:hAnsiTheme="majorBidi" w:cstheme="majorBidi"/>
                <w:b/>
                <w:i/>
                <w:sz w:val="18"/>
                <w:szCs w:val="18"/>
                <w:lang w:bidi="fr-FR"/>
              </w:rPr>
            </w:pPr>
          </w:p>
        </w:tc>
        <w:tc>
          <w:tcPr>
            <w:tcW w:w="14884" w:type="dxa"/>
            <w:gridSpan w:val="5"/>
            <w:shd w:val="clear" w:color="auto" w:fill="EEECE1" w:themeFill="background2"/>
          </w:tcPr>
          <w:p w14:paraId="00FC7E99" w14:textId="77777777" w:rsidR="002342E6" w:rsidRPr="0054502F" w:rsidRDefault="002342E6" w:rsidP="002342E6">
            <w:pPr>
              <w:autoSpaceDE w:val="0"/>
              <w:autoSpaceDN w:val="0"/>
              <w:adjustRightInd w:val="0"/>
              <w:rPr>
                <w:rFonts w:asciiTheme="majorBidi" w:hAnsiTheme="majorBidi" w:cstheme="majorBidi"/>
                <w:b/>
                <w:bCs/>
                <w:i/>
                <w:sz w:val="18"/>
                <w:szCs w:val="18"/>
                <w:lang w:bidi="fr-FR"/>
              </w:rPr>
            </w:pPr>
            <w:r w:rsidRPr="0054502F">
              <w:rPr>
                <w:rFonts w:asciiTheme="majorBidi" w:hAnsiTheme="majorBidi" w:cstheme="majorBidi"/>
                <w:b/>
                <w:bCs/>
                <w:i/>
                <w:sz w:val="18"/>
                <w:szCs w:val="18"/>
                <w:lang w:bidi="fr-FR"/>
              </w:rPr>
              <w:t>Volet 5 : Communication institutionnelle et relation citoyenne</w:t>
            </w:r>
          </w:p>
          <w:p w14:paraId="71916EB3" w14:textId="77777777" w:rsidR="00E84C56" w:rsidRPr="0054502F" w:rsidRDefault="00E84C56" w:rsidP="002342E6">
            <w:pPr>
              <w:autoSpaceDE w:val="0"/>
              <w:autoSpaceDN w:val="0"/>
              <w:adjustRightInd w:val="0"/>
              <w:rPr>
                <w:rFonts w:asciiTheme="majorBidi" w:hAnsiTheme="majorBidi" w:cstheme="majorBidi"/>
                <w:b/>
                <w:bCs/>
                <w:i/>
                <w:sz w:val="18"/>
                <w:szCs w:val="18"/>
                <w:lang w:bidi="fr-FR"/>
              </w:rPr>
            </w:pPr>
          </w:p>
        </w:tc>
      </w:tr>
      <w:tr w:rsidR="00E84C56" w:rsidRPr="0054502F" w14:paraId="43728C26" w14:textId="77777777" w:rsidTr="002D29EA">
        <w:trPr>
          <w:trHeight w:val="413"/>
        </w:trPr>
        <w:tc>
          <w:tcPr>
            <w:tcW w:w="710" w:type="dxa"/>
            <w:shd w:val="clear" w:color="auto" w:fill="auto"/>
            <w:textDirection w:val="btLr"/>
          </w:tcPr>
          <w:p w14:paraId="7953C709" w14:textId="77777777" w:rsidR="00E84C56" w:rsidRPr="0054502F" w:rsidRDefault="00E84C56" w:rsidP="00BA1C19">
            <w:pPr>
              <w:tabs>
                <w:tab w:val="left" w:pos="0"/>
                <w:tab w:val="left" w:pos="132"/>
              </w:tabs>
              <w:ind w:left="113" w:right="113" w:hanging="101"/>
              <w:jc w:val="center"/>
              <w:rPr>
                <w:rFonts w:asciiTheme="majorBidi" w:hAnsiTheme="majorBidi" w:cstheme="majorBidi"/>
                <w:b/>
                <w:i/>
                <w:sz w:val="18"/>
                <w:szCs w:val="18"/>
                <w:lang w:bidi="fr-FR"/>
              </w:rPr>
            </w:pPr>
          </w:p>
        </w:tc>
        <w:tc>
          <w:tcPr>
            <w:tcW w:w="3544" w:type="dxa"/>
            <w:shd w:val="clear" w:color="auto" w:fill="auto"/>
          </w:tcPr>
          <w:p w14:paraId="1E0797BD" w14:textId="77777777" w:rsidR="00E84C56" w:rsidRPr="0054502F" w:rsidRDefault="002342E6" w:rsidP="005A40D7">
            <w:pPr>
              <w:autoSpaceDE w:val="0"/>
              <w:autoSpaceDN w:val="0"/>
              <w:adjustRightInd w:val="0"/>
              <w:jc w:val="both"/>
              <w:rPr>
                <w:rFonts w:asciiTheme="majorBidi" w:hAnsiTheme="majorBidi" w:cstheme="majorBidi"/>
                <w:i/>
                <w:sz w:val="18"/>
                <w:szCs w:val="18"/>
                <w:lang w:bidi="fr-FR"/>
              </w:rPr>
            </w:pPr>
            <w:r w:rsidRPr="0054502F">
              <w:rPr>
                <w:rFonts w:asciiTheme="majorBidi" w:hAnsiTheme="majorBidi" w:cstheme="majorBidi"/>
                <w:i/>
                <w:sz w:val="18"/>
                <w:szCs w:val="18"/>
                <w:lang w:bidi="fr-FR"/>
              </w:rPr>
              <w:t>Résultat attendu n°5 : la communication institutionnelle de l’Agence est améliorée</w:t>
            </w:r>
          </w:p>
        </w:tc>
        <w:tc>
          <w:tcPr>
            <w:tcW w:w="4110" w:type="dxa"/>
            <w:shd w:val="clear" w:color="auto" w:fill="auto"/>
          </w:tcPr>
          <w:p w14:paraId="2454DDB1" w14:textId="44C66F2B"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 xml:space="preserve">In 5.1 : </w:t>
            </w:r>
            <w:r w:rsidR="0054502F" w:rsidRPr="0054502F">
              <w:rPr>
                <w:rFonts w:asciiTheme="majorBidi" w:hAnsiTheme="majorBidi" w:cstheme="majorBidi"/>
                <w:i/>
                <w:sz w:val="18"/>
                <w:szCs w:val="18"/>
                <w:lang w:bidi="fr-FR"/>
              </w:rPr>
              <w:t>Une plateforme digitale citoyenne d’information et de dialogue est mise en ligne, avec suivi des taux d’interaction et d’utilisation mesurés trimestriellement.</w:t>
            </w:r>
          </w:p>
          <w:p w14:paraId="66C99355" w14:textId="60A5320B"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5.2 :</w:t>
            </w:r>
            <w:r w:rsidR="0054502F" w:rsidRPr="0054502F">
              <w:rPr>
                <w:rFonts w:asciiTheme="majorBidi" w:hAnsiTheme="majorBidi" w:cstheme="majorBidi"/>
                <w:i/>
                <w:sz w:val="18"/>
                <w:szCs w:val="18"/>
                <w:lang w:bidi="fr-FR"/>
              </w:rPr>
              <w:tab/>
              <w:t>Favoriser l'accès à des services d'aide juridique pour soutenir les citoyens dans leurs procédures contre l'administration.</w:t>
            </w:r>
          </w:p>
          <w:p w14:paraId="5E262162" w14:textId="7608C8ED"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5.3 :</w:t>
            </w:r>
            <w:r w:rsidR="0054502F" w:rsidRPr="0054502F">
              <w:rPr>
                <w:rFonts w:asciiTheme="majorBidi" w:hAnsiTheme="majorBidi" w:cstheme="majorBidi"/>
                <w:i/>
                <w:sz w:val="18"/>
                <w:szCs w:val="18"/>
                <w:lang w:bidi="fr-FR"/>
              </w:rPr>
              <w:tab/>
              <w:t xml:space="preserve">Établir des systèmes efficaces permettant aux citoyens de rapporter les abus ou les problèmes liés à la gestion de leur dossier par l'AJR. </w:t>
            </w:r>
          </w:p>
          <w:p w14:paraId="77DB8FF4" w14:textId="367E506C"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5.4 :</w:t>
            </w:r>
            <w:r w:rsidR="0054502F" w:rsidRPr="0054502F">
              <w:rPr>
                <w:rFonts w:asciiTheme="majorBidi" w:hAnsiTheme="majorBidi" w:cstheme="majorBidi"/>
                <w:i/>
                <w:sz w:val="18"/>
                <w:szCs w:val="18"/>
                <w:lang w:bidi="fr-FR"/>
              </w:rPr>
              <w:tab/>
              <w:t>Améliorer les échanges entre l'AJR, les autres institutions publiques et les citoyens pour assurer un traitement rapide et juste des dossiers, ainsi que la publication régulière des rapports concernant l'état des litiges de l'État, dans le but de favoriser la transparence et la responsabilité.</w:t>
            </w:r>
          </w:p>
          <w:p w14:paraId="3D2E7E4C" w14:textId="2CFC1867"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5.5 :</w:t>
            </w:r>
            <w:r w:rsidR="0054502F" w:rsidRPr="0054502F">
              <w:rPr>
                <w:rFonts w:asciiTheme="majorBidi" w:hAnsiTheme="majorBidi" w:cstheme="majorBidi"/>
                <w:i/>
                <w:sz w:val="18"/>
                <w:szCs w:val="18"/>
                <w:lang w:bidi="fr-FR"/>
              </w:rPr>
              <w:tab/>
              <w:t>Accroître l'importance du conseil juridique au sein des administrations pour réduire les erreurs à l'origine de litiges.</w:t>
            </w:r>
          </w:p>
          <w:p w14:paraId="3BB010C9" w14:textId="382EBC03"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5.6 :</w:t>
            </w:r>
            <w:r w:rsidR="0054502F" w:rsidRPr="0054502F">
              <w:rPr>
                <w:rFonts w:asciiTheme="majorBidi" w:hAnsiTheme="majorBidi" w:cstheme="majorBidi"/>
                <w:i/>
                <w:sz w:val="18"/>
                <w:szCs w:val="18"/>
                <w:lang w:bidi="fr-FR"/>
              </w:rPr>
              <w:tab/>
              <w:t>Élaboration d'une base de référence nationale sur la jurisprudence relative au contentieux public pour orienter les administrations et les tribunaux.</w:t>
            </w:r>
          </w:p>
          <w:p w14:paraId="6C80CD6D" w14:textId="56E4EEEB" w:rsidR="0054502F"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5.7 :</w:t>
            </w:r>
            <w:r w:rsidR="0054502F" w:rsidRPr="0054502F">
              <w:rPr>
                <w:rFonts w:asciiTheme="majorBidi" w:hAnsiTheme="majorBidi" w:cstheme="majorBidi"/>
                <w:i/>
                <w:sz w:val="18"/>
                <w:szCs w:val="18"/>
                <w:lang w:bidi="fr-FR"/>
              </w:rPr>
              <w:tab/>
              <w:t>Mise en place d'un point de renseignements et d'orientation juridique pour les citoyens confrontés à un conflit avec l'État.</w:t>
            </w:r>
          </w:p>
          <w:p w14:paraId="2455C9B5" w14:textId="511494AB" w:rsidR="00E84C56" w:rsidRPr="0054502F" w:rsidRDefault="001732FC" w:rsidP="001732FC">
            <w:pPr>
              <w:autoSpaceDE w:val="0"/>
              <w:autoSpaceDN w:val="0"/>
              <w:adjustRightInd w:val="0"/>
              <w:jc w:val="both"/>
              <w:rPr>
                <w:rFonts w:asciiTheme="majorBidi" w:hAnsiTheme="majorBidi" w:cstheme="majorBidi"/>
                <w:i/>
                <w:sz w:val="18"/>
                <w:szCs w:val="18"/>
                <w:lang w:bidi="fr-FR"/>
              </w:rPr>
            </w:pPr>
            <w:r>
              <w:rPr>
                <w:rFonts w:asciiTheme="majorBidi" w:hAnsiTheme="majorBidi" w:cstheme="majorBidi"/>
                <w:i/>
                <w:sz w:val="18"/>
                <w:szCs w:val="18"/>
                <w:lang w:bidi="fr-FR"/>
              </w:rPr>
              <w:t>In 5.8 :</w:t>
            </w:r>
            <w:r w:rsidR="0054502F" w:rsidRPr="0054502F">
              <w:rPr>
                <w:rFonts w:asciiTheme="majorBidi" w:hAnsiTheme="majorBidi" w:cstheme="majorBidi"/>
                <w:i/>
                <w:sz w:val="18"/>
                <w:szCs w:val="18"/>
                <w:lang w:bidi="fr-FR"/>
              </w:rPr>
              <w:tab/>
              <w:t>Création d'un département de médiation administrative au sein de l'AJR pour gérer les plaintes avant qu'elles ne conduisent à un litige.</w:t>
            </w:r>
          </w:p>
        </w:tc>
        <w:tc>
          <w:tcPr>
            <w:tcW w:w="3119" w:type="dxa"/>
            <w:shd w:val="clear" w:color="auto" w:fill="auto"/>
          </w:tcPr>
          <w:p w14:paraId="0A27E904" w14:textId="77777777" w:rsidR="000C40E9" w:rsidRDefault="000C40E9" w:rsidP="000C40E9">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Plate-forme digitale</w:t>
            </w:r>
          </w:p>
          <w:p w14:paraId="38230423" w14:textId="77777777" w:rsidR="000C40E9" w:rsidRDefault="000C40E9" w:rsidP="000C40E9">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Session de sensibilisation</w:t>
            </w:r>
          </w:p>
          <w:p w14:paraId="326289B5" w14:textId="77777777" w:rsidR="000C40E9" w:rsidRDefault="000C40E9" w:rsidP="000C40E9">
            <w:pPr>
              <w:autoSpaceDE w:val="0"/>
              <w:autoSpaceDN w:val="0"/>
              <w:adjustRightInd w:val="0"/>
              <w:contextualSpacing/>
              <w:jc w:val="both"/>
              <w:rPr>
                <w:rFonts w:asciiTheme="majorBidi" w:hAnsiTheme="majorBidi" w:cstheme="majorBidi"/>
                <w:i/>
                <w:sz w:val="18"/>
                <w:szCs w:val="18"/>
                <w:lang w:eastAsia="en-US" w:bidi="fr-FR"/>
              </w:rPr>
            </w:pPr>
            <w:r>
              <w:rPr>
                <w:rFonts w:asciiTheme="majorBidi" w:hAnsiTheme="majorBidi" w:cstheme="majorBidi"/>
                <w:i/>
                <w:sz w:val="18"/>
                <w:szCs w:val="18"/>
                <w:lang w:eastAsia="en-US" w:bidi="fr-FR"/>
              </w:rPr>
              <w:t>Fiche poste pour la médiation administrative</w:t>
            </w:r>
          </w:p>
          <w:p w14:paraId="0949BA2D" w14:textId="77777777" w:rsidR="000C40E9" w:rsidRPr="0054502F" w:rsidRDefault="000C40E9" w:rsidP="000C40E9">
            <w:pPr>
              <w:autoSpaceDE w:val="0"/>
              <w:autoSpaceDN w:val="0"/>
              <w:adjustRightInd w:val="0"/>
              <w:contextualSpacing/>
              <w:jc w:val="both"/>
              <w:rPr>
                <w:rFonts w:asciiTheme="majorBidi" w:hAnsiTheme="majorBidi" w:cstheme="majorBidi"/>
                <w:i/>
                <w:sz w:val="18"/>
                <w:szCs w:val="18"/>
                <w:lang w:eastAsia="en-US" w:bidi="fr-FR"/>
              </w:rPr>
            </w:pPr>
          </w:p>
        </w:tc>
        <w:tc>
          <w:tcPr>
            <w:tcW w:w="1984" w:type="dxa"/>
            <w:shd w:val="clear" w:color="auto" w:fill="auto"/>
          </w:tcPr>
          <w:p w14:paraId="6C780685" w14:textId="77777777" w:rsidR="00E84C56" w:rsidRDefault="002D29EA" w:rsidP="002D29EA">
            <w:pPr>
              <w:autoSpaceDE w:val="0"/>
              <w:autoSpaceDN w:val="0"/>
              <w:adjustRightInd w:val="0"/>
              <w:contextualSpacing/>
              <w:rPr>
                <w:rFonts w:asciiTheme="majorBidi" w:hAnsiTheme="majorBidi" w:cstheme="majorBidi"/>
                <w:i/>
                <w:sz w:val="18"/>
                <w:szCs w:val="18"/>
                <w:lang w:eastAsia="en-US" w:bidi="fr-FR"/>
              </w:rPr>
            </w:pPr>
            <w:r w:rsidRPr="002D29EA">
              <w:rPr>
                <w:rFonts w:asciiTheme="majorBidi" w:hAnsiTheme="majorBidi" w:cstheme="majorBidi"/>
                <w:i/>
                <w:sz w:val="18"/>
                <w:szCs w:val="18"/>
                <w:lang w:eastAsia="en-US" w:bidi="fr-FR"/>
              </w:rPr>
              <w:t>formation continue</w:t>
            </w:r>
          </w:p>
          <w:p w14:paraId="539F02AB" w14:textId="77777777" w:rsidR="002D29EA" w:rsidRPr="0054502F" w:rsidRDefault="002D29EA" w:rsidP="002D29EA">
            <w:pPr>
              <w:autoSpaceDE w:val="0"/>
              <w:autoSpaceDN w:val="0"/>
              <w:adjustRightInd w:val="0"/>
              <w:contextualSpacing/>
              <w:rPr>
                <w:rFonts w:asciiTheme="majorBidi" w:hAnsiTheme="majorBidi" w:cstheme="majorBidi"/>
                <w:i/>
                <w:sz w:val="18"/>
                <w:szCs w:val="18"/>
                <w:lang w:bidi="fr-FR"/>
              </w:rPr>
            </w:pPr>
            <w:r>
              <w:rPr>
                <w:rFonts w:asciiTheme="majorBidi" w:hAnsiTheme="majorBidi" w:cstheme="majorBidi"/>
                <w:i/>
                <w:sz w:val="18"/>
                <w:szCs w:val="18"/>
                <w:lang w:eastAsia="en-US" w:bidi="fr-FR"/>
              </w:rPr>
              <w:t>coordination interinstitutionnelle</w:t>
            </w:r>
          </w:p>
        </w:tc>
        <w:tc>
          <w:tcPr>
            <w:tcW w:w="2127" w:type="dxa"/>
            <w:shd w:val="clear" w:color="auto" w:fill="auto"/>
          </w:tcPr>
          <w:p w14:paraId="163638C2" w14:textId="77777777" w:rsidR="00E84C56" w:rsidRDefault="002D29EA" w:rsidP="002D29EA">
            <w:pPr>
              <w:autoSpaceDE w:val="0"/>
              <w:autoSpaceDN w:val="0"/>
              <w:adjustRightInd w:val="0"/>
              <w:contextualSpacing/>
              <w:rPr>
                <w:rFonts w:asciiTheme="majorBidi" w:hAnsiTheme="majorBidi" w:cstheme="majorBidi"/>
                <w:i/>
                <w:sz w:val="18"/>
                <w:szCs w:val="18"/>
                <w:lang w:eastAsia="en-US" w:bidi="fr-FR"/>
              </w:rPr>
            </w:pPr>
            <w:r w:rsidRPr="002D29EA">
              <w:rPr>
                <w:rFonts w:asciiTheme="majorBidi" w:hAnsiTheme="majorBidi" w:cstheme="majorBidi"/>
                <w:i/>
                <w:sz w:val="18"/>
                <w:szCs w:val="18"/>
                <w:lang w:eastAsia="en-US" w:bidi="fr-FR"/>
              </w:rPr>
              <w:t>surcharge d’information</w:t>
            </w:r>
          </w:p>
          <w:p w14:paraId="392C2DC3" w14:textId="77777777" w:rsidR="002D29EA" w:rsidRDefault="002D29EA" w:rsidP="002D29EA">
            <w:pPr>
              <w:autoSpaceDE w:val="0"/>
              <w:autoSpaceDN w:val="0"/>
              <w:adjustRightInd w:val="0"/>
              <w:contextualSpacing/>
              <w:rPr>
                <w:rFonts w:asciiTheme="majorBidi" w:hAnsiTheme="majorBidi" w:cstheme="majorBidi"/>
                <w:i/>
                <w:sz w:val="18"/>
                <w:szCs w:val="18"/>
                <w:lang w:eastAsia="en-US" w:bidi="fr-FR"/>
              </w:rPr>
            </w:pPr>
            <w:r w:rsidRPr="002D29EA">
              <w:rPr>
                <w:rFonts w:asciiTheme="majorBidi" w:hAnsiTheme="majorBidi" w:cstheme="majorBidi"/>
                <w:i/>
                <w:sz w:val="18"/>
                <w:szCs w:val="18"/>
                <w:lang w:eastAsia="en-US" w:bidi="fr-FR"/>
              </w:rPr>
              <w:t>on-adoption des nouveaux outils de communication</w:t>
            </w:r>
          </w:p>
          <w:p w14:paraId="6EE47006" w14:textId="77777777" w:rsidR="002D29EA" w:rsidRDefault="002D29EA" w:rsidP="002D29EA">
            <w:pPr>
              <w:autoSpaceDE w:val="0"/>
              <w:autoSpaceDN w:val="0"/>
              <w:adjustRightInd w:val="0"/>
              <w:contextualSpacing/>
              <w:rPr>
                <w:rFonts w:asciiTheme="majorBidi" w:hAnsiTheme="majorBidi" w:cstheme="majorBidi"/>
                <w:i/>
                <w:sz w:val="18"/>
                <w:szCs w:val="18"/>
                <w:lang w:eastAsia="en-US" w:bidi="fr-FR"/>
              </w:rPr>
            </w:pPr>
            <w:r w:rsidRPr="002D29EA">
              <w:rPr>
                <w:rFonts w:asciiTheme="majorBidi" w:hAnsiTheme="majorBidi" w:cstheme="majorBidi"/>
                <w:i/>
                <w:sz w:val="18"/>
                <w:szCs w:val="18"/>
                <w:lang w:eastAsia="en-US" w:bidi="fr-FR"/>
              </w:rPr>
              <w:t>manque de formation en communication</w:t>
            </w:r>
          </w:p>
          <w:p w14:paraId="4CAA7C62" w14:textId="77777777" w:rsidR="002D29EA" w:rsidRPr="0054502F" w:rsidRDefault="002D29EA" w:rsidP="002D29EA">
            <w:pPr>
              <w:autoSpaceDE w:val="0"/>
              <w:autoSpaceDN w:val="0"/>
              <w:adjustRightInd w:val="0"/>
              <w:contextualSpacing/>
              <w:rPr>
                <w:rFonts w:asciiTheme="majorBidi" w:hAnsiTheme="majorBidi" w:cstheme="majorBidi"/>
                <w:i/>
                <w:sz w:val="18"/>
                <w:szCs w:val="18"/>
                <w:lang w:bidi="fr-FR"/>
              </w:rPr>
            </w:pPr>
            <w:r w:rsidRPr="002D29EA">
              <w:rPr>
                <w:rFonts w:asciiTheme="majorBidi" w:hAnsiTheme="majorBidi" w:cstheme="majorBidi"/>
                <w:i/>
                <w:sz w:val="18"/>
                <w:szCs w:val="18"/>
                <w:lang w:eastAsia="en-US" w:bidi="fr-FR"/>
              </w:rPr>
              <w:t>non-reconnaissance des décisions issues</w:t>
            </w:r>
            <w:r w:rsidRPr="002D29EA">
              <w:rPr>
                <w:rFonts w:asciiTheme="majorBidi" w:hAnsiTheme="majorBidi" w:cstheme="majorBidi"/>
                <w:i/>
                <w:sz w:val="18"/>
                <w:szCs w:val="18"/>
                <w:lang w:bidi="fr-FR"/>
              </w:rPr>
              <w:t xml:space="preserve"> des MARL</w:t>
            </w:r>
          </w:p>
        </w:tc>
      </w:tr>
    </w:tbl>
    <w:p w14:paraId="1C7771C3" w14:textId="77777777" w:rsidR="002625E5" w:rsidRPr="00EA2174" w:rsidRDefault="002625E5" w:rsidP="002625E5">
      <w:pPr>
        <w:sectPr w:rsidR="002625E5" w:rsidRPr="00EA2174" w:rsidSect="001D7A96">
          <w:pgSz w:w="16840" w:h="11907" w:orient="landscape"/>
          <w:pgMar w:top="1418" w:right="244" w:bottom="1418" w:left="851" w:header="680" w:footer="680" w:gutter="0"/>
          <w:cols w:space="720"/>
        </w:sectPr>
      </w:pPr>
    </w:p>
    <w:p w14:paraId="2D540528" w14:textId="77777777" w:rsidR="00737C80" w:rsidRPr="00EA2174" w:rsidRDefault="00712EC1" w:rsidP="00565867">
      <w:pPr>
        <w:pStyle w:val="Titolo2"/>
        <w:ind w:left="576" w:firstLine="0"/>
        <w:jc w:val="center"/>
      </w:pPr>
      <w:bookmarkStart w:id="68" w:name="_Toc106025924"/>
      <w:bookmarkStart w:id="69" w:name="_Toc200114708"/>
      <w:r w:rsidRPr="00EA2174">
        <w:t xml:space="preserve">Annexe </w:t>
      </w:r>
      <w:r w:rsidR="00565867" w:rsidRPr="00EA2174">
        <w:t>2</w:t>
      </w:r>
      <w:r w:rsidR="002E7DEE" w:rsidRPr="00EA2174">
        <w:t xml:space="preserve"> - Textes juridiques applicables</w:t>
      </w:r>
      <w:bookmarkEnd w:id="68"/>
      <w:bookmarkEnd w:id="69"/>
    </w:p>
    <w:p w14:paraId="0B5695AB" w14:textId="77777777" w:rsidR="00737C80" w:rsidRPr="00EA2174" w:rsidRDefault="00737C80">
      <w:pPr>
        <w:pBdr>
          <w:top w:val="nil"/>
          <w:left w:val="nil"/>
          <w:bottom w:val="nil"/>
          <w:right w:val="nil"/>
          <w:between w:val="nil"/>
        </w:pBdr>
        <w:jc w:val="both"/>
        <w:rPr>
          <w:color w:val="000000"/>
        </w:rPr>
      </w:pPr>
    </w:p>
    <w:p w14:paraId="13B87533" w14:textId="77777777" w:rsidR="006766F0" w:rsidRPr="00EA2174" w:rsidRDefault="006766F0" w:rsidP="00280345">
      <w:pPr>
        <w:pStyle w:val="Paragrafoelenco"/>
        <w:numPr>
          <w:ilvl w:val="0"/>
          <w:numId w:val="8"/>
        </w:numPr>
        <w:pBdr>
          <w:top w:val="nil"/>
          <w:left w:val="nil"/>
          <w:bottom w:val="nil"/>
          <w:right w:val="nil"/>
          <w:between w:val="nil"/>
        </w:pBdr>
        <w:jc w:val="both"/>
        <w:rPr>
          <w:color w:val="000000" w:themeColor="text1"/>
        </w:rPr>
      </w:pPr>
      <w:r w:rsidRPr="00EA2174">
        <w:rPr>
          <w:color w:val="000000" w:themeColor="text1"/>
        </w:rPr>
        <w:t xml:space="preserve">Dahir du (02 mars 1953) portant réorganisation de l’agence judiciaire de l’Etat </w:t>
      </w:r>
      <w:r w:rsidR="0097213C" w:rsidRPr="00EA2174">
        <w:rPr>
          <w:color w:val="000000" w:themeColor="text1"/>
        </w:rPr>
        <w:t>chérifien ;</w:t>
      </w:r>
    </w:p>
    <w:p w14:paraId="2674E239" w14:textId="77777777" w:rsidR="006766F0" w:rsidRPr="00EA2174" w:rsidRDefault="006766F0" w:rsidP="00280345">
      <w:pPr>
        <w:pStyle w:val="Paragrafoelenco"/>
        <w:numPr>
          <w:ilvl w:val="0"/>
          <w:numId w:val="8"/>
        </w:numPr>
        <w:pBdr>
          <w:top w:val="nil"/>
          <w:left w:val="nil"/>
          <w:bottom w:val="nil"/>
          <w:right w:val="nil"/>
          <w:between w:val="nil"/>
        </w:pBdr>
        <w:jc w:val="both"/>
        <w:rPr>
          <w:color w:val="000000" w:themeColor="text1"/>
        </w:rPr>
      </w:pPr>
      <w:r w:rsidRPr="00EA2174">
        <w:rPr>
          <w:color w:val="000000" w:themeColor="text1"/>
        </w:rPr>
        <w:t>Article</w:t>
      </w:r>
      <w:r w:rsidR="006C6036" w:rsidRPr="00EA2174">
        <w:rPr>
          <w:color w:val="000000" w:themeColor="text1"/>
        </w:rPr>
        <w:t>s 3, 354,</w:t>
      </w:r>
      <w:r w:rsidRPr="00EA2174">
        <w:rPr>
          <w:color w:val="000000" w:themeColor="text1"/>
        </w:rPr>
        <w:t xml:space="preserve"> </w:t>
      </w:r>
      <w:r w:rsidR="006C6036" w:rsidRPr="00EA2174">
        <w:rPr>
          <w:color w:val="000000" w:themeColor="text1"/>
        </w:rPr>
        <w:t xml:space="preserve">514, </w:t>
      </w:r>
      <w:r w:rsidRPr="00EA2174">
        <w:rPr>
          <w:color w:val="000000" w:themeColor="text1"/>
        </w:rPr>
        <w:t xml:space="preserve">515, du code de procédure civile promulgué par le Dahir n° 1.74.447 du 11 Ramadan 1394 (28 septembre 1974) tel que modifié et </w:t>
      </w:r>
      <w:r w:rsidR="0097213C" w:rsidRPr="00EA2174">
        <w:rPr>
          <w:color w:val="000000" w:themeColor="text1"/>
        </w:rPr>
        <w:t>complété ;</w:t>
      </w:r>
    </w:p>
    <w:p w14:paraId="6D175D20" w14:textId="77777777" w:rsidR="006766F0" w:rsidRPr="00EA2174" w:rsidRDefault="006766F0" w:rsidP="00280345">
      <w:pPr>
        <w:pStyle w:val="Paragrafoelenco"/>
        <w:numPr>
          <w:ilvl w:val="0"/>
          <w:numId w:val="8"/>
        </w:numPr>
        <w:pBdr>
          <w:top w:val="nil"/>
          <w:left w:val="nil"/>
          <w:bottom w:val="nil"/>
          <w:right w:val="nil"/>
          <w:between w:val="nil"/>
        </w:pBdr>
        <w:jc w:val="both"/>
        <w:rPr>
          <w:color w:val="000000" w:themeColor="text1"/>
        </w:rPr>
      </w:pPr>
      <w:r w:rsidRPr="00EA2174">
        <w:rPr>
          <w:color w:val="000000" w:themeColor="text1"/>
        </w:rPr>
        <w:t>Article</w:t>
      </w:r>
      <w:r w:rsidR="006C6036" w:rsidRPr="00EA2174">
        <w:rPr>
          <w:color w:val="000000" w:themeColor="text1"/>
        </w:rPr>
        <w:t xml:space="preserve">s </w:t>
      </w:r>
      <w:r w:rsidR="006C6036" w:rsidRPr="00EA2174">
        <w:rPr>
          <w:b/>
          <w:bCs/>
          <w:color w:val="000000" w:themeColor="text1"/>
        </w:rPr>
        <w:t>28</w:t>
      </w:r>
      <w:r w:rsidR="006C6036" w:rsidRPr="00EA2174">
        <w:rPr>
          <w:color w:val="000000" w:themeColor="text1"/>
        </w:rPr>
        <w:t xml:space="preserve"> et</w:t>
      </w:r>
      <w:r w:rsidRPr="00EA2174">
        <w:rPr>
          <w:color w:val="000000" w:themeColor="text1"/>
        </w:rPr>
        <w:t xml:space="preserve"> 32 de </w:t>
      </w:r>
      <w:r w:rsidR="006C6036" w:rsidRPr="00EA2174">
        <w:rPr>
          <w:color w:val="000000" w:themeColor="text1"/>
        </w:rPr>
        <w:t>la loi instituant un régime de pensions militaires telle que modifiée en date du 20 août 2016, qui prévoient la restitution des sommes payées au Trésor par les personnes responsables des dommages causés aux fonctionnaires de l’État.</w:t>
      </w:r>
    </w:p>
    <w:p w14:paraId="345C8C36" w14:textId="77777777" w:rsidR="00737C80" w:rsidRPr="00EA2174" w:rsidRDefault="006766F0" w:rsidP="00280345">
      <w:pPr>
        <w:pStyle w:val="Paragrafoelenco"/>
        <w:numPr>
          <w:ilvl w:val="0"/>
          <w:numId w:val="8"/>
        </w:numPr>
        <w:pBdr>
          <w:top w:val="nil"/>
          <w:left w:val="nil"/>
          <w:bottom w:val="nil"/>
          <w:right w:val="nil"/>
          <w:between w:val="nil"/>
        </w:pBdr>
        <w:jc w:val="both"/>
        <w:rPr>
          <w:color w:val="000000" w:themeColor="text1"/>
        </w:rPr>
      </w:pPr>
      <w:r w:rsidRPr="00EA2174">
        <w:rPr>
          <w:color w:val="000000" w:themeColor="text1"/>
        </w:rPr>
        <w:t>Circulaire de M. le Chef de Gouvernement relative à la concili</w:t>
      </w:r>
      <w:r w:rsidR="00084954" w:rsidRPr="00EA2174">
        <w:rPr>
          <w:color w:val="000000" w:themeColor="text1"/>
        </w:rPr>
        <w:t>ation et à la médiation de 2021</w:t>
      </w:r>
    </w:p>
    <w:p w14:paraId="5D7BC98F" w14:textId="77777777" w:rsidR="00084954" w:rsidRPr="00EA2174" w:rsidRDefault="006C6036" w:rsidP="00280345">
      <w:pPr>
        <w:pStyle w:val="Paragrafoelenco"/>
        <w:numPr>
          <w:ilvl w:val="0"/>
          <w:numId w:val="8"/>
        </w:numPr>
        <w:pBdr>
          <w:top w:val="nil"/>
          <w:left w:val="nil"/>
          <w:bottom w:val="nil"/>
          <w:right w:val="nil"/>
          <w:between w:val="nil"/>
        </w:pBdr>
        <w:jc w:val="both"/>
        <w:rPr>
          <w:color w:val="000000" w:themeColor="text1"/>
          <w:rtl/>
        </w:rPr>
      </w:pPr>
      <w:r w:rsidRPr="00EA2174">
        <w:rPr>
          <w:color w:val="000000" w:themeColor="text1"/>
        </w:rPr>
        <w:t>A</w:t>
      </w:r>
      <w:r w:rsidR="00084954" w:rsidRPr="00EA2174">
        <w:rPr>
          <w:color w:val="000000" w:themeColor="text1"/>
        </w:rPr>
        <w:t>rticles 3, 37, 95 et 351</w:t>
      </w:r>
      <w:r w:rsidR="00CE2BC3" w:rsidRPr="00EA2174">
        <w:rPr>
          <w:color w:val="000000" w:themeColor="text1"/>
        </w:rPr>
        <w:t>, 529</w:t>
      </w:r>
      <w:r w:rsidR="00084954" w:rsidRPr="00EA2174">
        <w:rPr>
          <w:color w:val="000000" w:themeColor="text1"/>
        </w:rPr>
        <w:t xml:space="preserve"> du Code de procédure pénale</w:t>
      </w:r>
      <w:r w:rsidR="00CE2BC3" w:rsidRPr="00EA2174">
        <w:rPr>
          <w:color w:val="000000" w:themeColor="text1"/>
        </w:rPr>
        <w:t> ;</w:t>
      </w:r>
    </w:p>
    <w:p w14:paraId="70F059E6" w14:textId="77777777" w:rsidR="00084954" w:rsidRPr="00EA2174" w:rsidRDefault="00CE2BC3" w:rsidP="00280345">
      <w:pPr>
        <w:pStyle w:val="Paragrafoelenco"/>
        <w:numPr>
          <w:ilvl w:val="0"/>
          <w:numId w:val="8"/>
        </w:numPr>
        <w:pBdr>
          <w:top w:val="nil"/>
          <w:left w:val="nil"/>
          <w:bottom w:val="nil"/>
          <w:right w:val="nil"/>
          <w:between w:val="nil"/>
        </w:pBdr>
        <w:jc w:val="both"/>
        <w:rPr>
          <w:color w:val="000000" w:themeColor="text1"/>
          <w:rtl/>
        </w:rPr>
      </w:pPr>
      <w:r w:rsidRPr="00EA2174">
        <w:rPr>
          <w:color w:val="000000" w:themeColor="text1"/>
        </w:rPr>
        <w:t xml:space="preserve">Article </w:t>
      </w:r>
      <w:r w:rsidR="00084954" w:rsidRPr="00EA2174">
        <w:rPr>
          <w:color w:val="000000" w:themeColor="text1"/>
        </w:rPr>
        <w:t xml:space="preserve">31 de la loi organisant la profession d’avocat ce qui suit : </w:t>
      </w:r>
    </w:p>
    <w:p w14:paraId="4FB5BC6C" w14:textId="77777777" w:rsidR="00084954" w:rsidRPr="00EA2174" w:rsidRDefault="001F1605" w:rsidP="00280345">
      <w:pPr>
        <w:pStyle w:val="Paragrafoelenco"/>
        <w:numPr>
          <w:ilvl w:val="0"/>
          <w:numId w:val="8"/>
        </w:numPr>
        <w:pBdr>
          <w:top w:val="nil"/>
          <w:left w:val="nil"/>
          <w:bottom w:val="nil"/>
          <w:right w:val="nil"/>
          <w:between w:val="nil"/>
        </w:pBdr>
        <w:jc w:val="both"/>
        <w:rPr>
          <w:color w:val="000000" w:themeColor="text1"/>
          <w:rtl/>
        </w:rPr>
      </w:pPr>
      <w:r w:rsidRPr="00EA2174">
        <w:rPr>
          <w:color w:val="000000" w:themeColor="text1"/>
        </w:rPr>
        <w:t>A</w:t>
      </w:r>
      <w:r w:rsidR="00084954" w:rsidRPr="00EA2174">
        <w:rPr>
          <w:color w:val="000000" w:themeColor="text1"/>
        </w:rPr>
        <w:t xml:space="preserve">rticle 10 de la loi n° 80-03 instituant des cours d'appel administratives dispose que : </w:t>
      </w:r>
    </w:p>
    <w:p w14:paraId="0A0A5C6C" w14:textId="77777777" w:rsidR="002E7DEE" w:rsidRPr="00EA2174" w:rsidRDefault="00084954" w:rsidP="00280345">
      <w:pPr>
        <w:pStyle w:val="Paragrafoelenco"/>
        <w:numPr>
          <w:ilvl w:val="0"/>
          <w:numId w:val="8"/>
        </w:numPr>
        <w:pBdr>
          <w:top w:val="nil"/>
          <w:left w:val="nil"/>
          <w:bottom w:val="nil"/>
          <w:right w:val="nil"/>
          <w:between w:val="nil"/>
        </w:pBdr>
        <w:jc w:val="both"/>
        <w:rPr>
          <w:color w:val="000000" w:themeColor="text1"/>
        </w:rPr>
      </w:pPr>
      <w:r w:rsidRPr="00EA2174">
        <w:rPr>
          <w:color w:val="000000" w:themeColor="text1"/>
        </w:rPr>
        <w:t>Par ailleurs, il importe de souligner que les dispositions régissant la procédure contentieuse distinguent entre l’Agence Judiciaire du Royaume et l’institution de l’agent judiciaire du Royaume. Cette distinction a pour principal objectif de définir, dans le premier cas, l’Agence Judiciaire du Royaume en tant que structure administrative, faisant partie des directions relevant de l’autorité gouvernementale en charge de l’économie et des finances tel que prévu au niveau de l’article 16 du décret n° 2-07-995 du 23 chaoual 1429 (23 octobre 2008) relatif aux attributions et à l'organisation du ministère de l'économie et des finances</w:t>
      </w:r>
      <w:r w:rsidR="00CE2BC3" w:rsidRPr="00EA2174">
        <w:rPr>
          <w:color w:val="000000" w:themeColor="text1"/>
        </w:rPr>
        <w:t xml:space="preserve">. </w:t>
      </w:r>
      <w:r w:rsidRPr="00EA2174">
        <w:rPr>
          <w:color w:val="000000" w:themeColor="text1"/>
        </w:rPr>
        <w:t xml:space="preserve"> </w:t>
      </w:r>
    </w:p>
    <w:p w14:paraId="4A883EE6" w14:textId="77777777" w:rsidR="00CE2BC3" w:rsidRPr="00EA2174" w:rsidRDefault="00CE2BC3" w:rsidP="001F1605">
      <w:pPr>
        <w:pStyle w:val="Paragrafoelenco"/>
        <w:pBdr>
          <w:top w:val="nil"/>
          <w:left w:val="nil"/>
          <w:bottom w:val="nil"/>
          <w:right w:val="nil"/>
          <w:between w:val="nil"/>
        </w:pBdr>
        <w:ind w:left="1080"/>
        <w:jc w:val="both"/>
        <w:rPr>
          <w:color w:val="000000" w:themeColor="text1"/>
        </w:rPr>
      </w:pPr>
    </w:p>
    <w:p w14:paraId="67E1E913" w14:textId="77777777" w:rsidR="00737C80" w:rsidRPr="00EA2174" w:rsidRDefault="002E7DEE" w:rsidP="001D7A96">
      <w:pPr>
        <w:jc w:val="center"/>
        <w:rPr>
          <w:b/>
          <w:bCs/>
          <w:color w:val="000000" w:themeColor="text1"/>
        </w:rPr>
      </w:pPr>
      <w:r w:rsidRPr="00EA2174">
        <w:rPr>
          <w:b/>
          <w:bCs/>
          <w:color w:val="000000" w:themeColor="text1"/>
        </w:rPr>
        <w:t>**********</w:t>
      </w:r>
    </w:p>
    <w:sectPr w:rsidR="00737C80" w:rsidRPr="00EA2174" w:rsidSect="001D7A96">
      <w:footerReference w:type="default" r:id="rId18"/>
      <w:pgSz w:w="11907" w:h="16840"/>
      <w:pgMar w:top="244" w:right="1418" w:bottom="851"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F3CA" w14:textId="77777777" w:rsidR="00112D8D" w:rsidRDefault="00112D8D">
      <w:r>
        <w:separator/>
      </w:r>
    </w:p>
  </w:endnote>
  <w:endnote w:type="continuationSeparator" w:id="0">
    <w:p w14:paraId="06D922E2" w14:textId="77777777" w:rsidR="00112D8D" w:rsidRDefault="0011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DD4C" w14:textId="349AFF68" w:rsidR="00821657" w:rsidRDefault="00821657">
    <w:pPr>
      <w:pBdr>
        <w:top w:val="nil"/>
        <w:left w:val="nil"/>
        <w:bottom w:val="nil"/>
        <w:right w:val="nil"/>
        <w:between w:val="nil"/>
      </w:pBdr>
      <w:tabs>
        <w:tab w:val="center" w:pos="4536"/>
        <w:tab w:val="right" w:pos="9072"/>
      </w:tabs>
      <w:ind w:left="36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22B1E">
      <w:rPr>
        <w:noProof/>
        <w:color w:val="000000"/>
      </w:rPr>
      <w:t>4</w:t>
    </w:r>
    <w:r>
      <w:rPr>
        <w:color w:val="000000"/>
      </w:rPr>
      <w:fldChar w:fldCharType="end"/>
    </w:r>
    <w:r>
      <w:rPr>
        <w:color w:val="000000"/>
      </w:rPr>
      <w:t xml:space="preserve"> -</w:t>
    </w:r>
  </w:p>
  <w:p w14:paraId="287D9BF4" w14:textId="77777777" w:rsidR="00821657" w:rsidRDefault="00821657">
    <w:pPr>
      <w:pBdr>
        <w:top w:val="nil"/>
        <w:left w:val="nil"/>
        <w:bottom w:val="nil"/>
        <w:right w:val="nil"/>
        <w:between w:val="nil"/>
      </w:pBdr>
      <w:tabs>
        <w:tab w:val="center" w:pos="4536"/>
        <w:tab w:val="right" w:pos="9072"/>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2AB5" w14:textId="77777777" w:rsidR="00821657" w:rsidRDefault="00821657">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31EE4616" w14:textId="77777777" w:rsidR="00821657" w:rsidRDefault="00821657">
    <w:pPr>
      <w:pBdr>
        <w:top w:val="nil"/>
        <w:left w:val="nil"/>
        <w:bottom w:val="nil"/>
        <w:right w:val="nil"/>
        <w:between w:val="nil"/>
      </w:pBdr>
      <w:tabs>
        <w:tab w:val="center" w:pos="4536"/>
        <w:tab w:val="right" w:pos="9072"/>
      </w:tabs>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57C8" w14:textId="7F8FC38E" w:rsidR="00821657" w:rsidRPr="002A42B7" w:rsidRDefault="00821657" w:rsidP="007A628A">
    <w:pPr>
      <w:pBdr>
        <w:top w:val="nil"/>
        <w:left w:val="nil"/>
        <w:bottom w:val="nil"/>
        <w:right w:val="nil"/>
        <w:between w:val="nil"/>
      </w:pBdr>
      <w:tabs>
        <w:tab w:val="center" w:pos="4536"/>
        <w:tab w:val="right" w:pos="9072"/>
      </w:tabs>
      <w:spacing w:before="120"/>
      <w:jc w:val="center"/>
      <w:rPr>
        <w:color w:val="A6A6A6" w:themeColor="background1" w:themeShade="A6"/>
        <w:sz w:val="20"/>
      </w:rPr>
    </w:pPr>
    <w:r>
      <w:rPr>
        <w:color w:val="A6A6A6" w:themeColor="background1" w:themeShade="A6"/>
        <w:sz w:val="20"/>
      </w:rPr>
      <w:tab/>
    </w:r>
    <w:r w:rsidRPr="002A42B7">
      <w:rPr>
        <w:color w:val="A6A6A6" w:themeColor="background1" w:themeShade="A6"/>
        <w:sz w:val="20"/>
      </w:rPr>
      <w:t xml:space="preserve"> </w:t>
    </w:r>
    <w:r w:rsidRPr="002A42B7">
      <w:rPr>
        <w:color w:val="A6A6A6" w:themeColor="background1" w:themeShade="A6"/>
        <w:sz w:val="20"/>
      </w:rPr>
      <w:fldChar w:fldCharType="begin"/>
    </w:r>
    <w:r w:rsidRPr="002A42B7">
      <w:rPr>
        <w:color w:val="A6A6A6" w:themeColor="background1" w:themeShade="A6"/>
        <w:sz w:val="20"/>
      </w:rPr>
      <w:instrText>PAGE</w:instrText>
    </w:r>
    <w:r w:rsidRPr="002A42B7">
      <w:rPr>
        <w:color w:val="A6A6A6" w:themeColor="background1" w:themeShade="A6"/>
        <w:sz w:val="20"/>
      </w:rPr>
      <w:fldChar w:fldCharType="separate"/>
    </w:r>
    <w:r w:rsidR="00422B1E">
      <w:rPr>
        <w:noProof/>
        <w:color w:val="A6A6A6" w:themeColor="background1" w:themeShade="A6"/>
        <w:sz w:val="20"/>
      </w:rPr>
      <w:t>24</w:t>
    </w:r>
    <w:r w:rsidRPr="002A42B7">
      <w:rPr>
        <w:color w:val="A6A6A6" w:themeColor="background1" w:themeShade="A6"/>
        <w:sz w:val="20"/>
      </w:rPr>
      <w:fldChar w:fldCharType="end"/>
    </w:r>
  </w:p>
  <w:p w14:paraId="68AD6BD8" w14:textId="77777777" w:rsidR="00821657" w:rsidRDefault="00821657">
    <w:pPr>
      <w:pBdr>
        <w:top w:val="nil"/>
        <w:left w:val="nil"/>
        <w:bottom w:val="nil"/>
        <w:right w:val="nil"/>
        <w:between w:val="nil"/>
      </w:pBdr>
      <w:tabs>
        <w:tab w:val="center" w:pos="4536"/>
        <w:tab w:val="right" w:pos="9072"/>
      </w:tabs>
      <w:jc w:val="center"/>
      <w:rPr>
        <w:color w:val="000000"/>
      </w:rPr>
    </w:pPr>
  </w:p>
  <w:p w14:paraId="600F35A7" w14:textId="77777777" w:rsidR="00821657" w:rsidRDefault="00821657">
    <w:pPr>
      <w:pBdr>
        <w:top w:val="nil"/>
        <w:left w:val="nil"/>
        <w:bottom w:val="nil"/>
        <w:right w:val="nil"/>
        <w:between w:val="nil"/>
      </w:pBdr>
      <w:tabs>
        <w:tab w:val="center" w:pos="4536"/>
        <w:tab w:val="right" w:pos="9072"/>
      </w:tabs>
      <w:jc w:val="both"/>
      <w:rPr>
        <w:rFonts w:ascii="Arial" w:eastAsia="Arial" w:hAnsi="Arial" w:cs="Arial"/>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B29F" w14:textId="49B25070" w:rsidR="00821657" w:rsidRDefault="00821657">
    <w:pPr>
      <w:pBdr>
        <w:top w:val="nil"/>
        <w:left w:val="nil"/>
        <w:bottom w:val="nil"/>
        <w:right w:val="nil"/>
        <w:between w:val="nil"/>
      </w:pBdr>
      <w:tabs>
        <w:tab w:val="center" w:pos="4536"/>
        <w:tab w:val="right" w:pos="9072"/>
      </w:tabs>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22B1E">
      <w:rPr>
        <w:noProof/>
        <w:color w:val="000000"/>
      </w:rPr>
      <w:t>25</w:t>
    </w:r>
    <w:r>
      <w:rPr>
        <w:color w:val="000000"/>
      </w:rPr>
      <w:fldChar w:fldCharType="end"/>
    </w:r>
    <w:r>
      <w:rPr>
        <w:color w:val="000000"/>
      </w:rPr>
      <w:t xml:space="preserve"> -</w:t>
    </w:r>
  </w:p>
  <w:p w14:paraId="22864A44" w14:textId="77777777" w:rsidR="00821657" w:rsidRDefault="00821657">
    <w:pPr>
      <w:pBdr>
        <w:top w:val="nil"/>
        <w:left w:val="nil"/>
        <w:bottom w:val="nil"/>
        <w:right w:val="nil"/>
        <w:between w:val="nil"/>
      </w:pBdr>
      <w:tabs>
        <w:tab w:val="center" w:pos="4536"/>
        <w:tab w:val="right" w:pos="9072"/>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F370" w14:textId="77777777" w:rsidR="00112D8D" w:rsidRDefault="00112D8D">
      <w:r>
        <w:separator/>
      </w:r>
    </w:p>
  </w:footnote>
  <w:footnote w:type="continuationSeparator" w:id="0">
    <w:p w14:paraId="2BB80FFB" w14:textId="77777777" w:rsidR="00112D8D" w:rsidRDefault="0011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7A86" w14:textId="77777777" w:rsidR="00821657" w:rsidRDefault="00821657">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144BF14"/>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BB880B5E"/>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1FF4F0A"/>
    <w:multiLevelType w:val="multilevel"/>
    <w:tmpl w:val="32C081A6"/>
    <w:lvl w:ilvl="0">
      <w:start w:val="3"/>
      <w:numFmt w:val="decimal"/>
      <w:lvlText w:val="%1"/>
      <w:lvlJc w:val="left"/>
      <w:pPr>
        <w:ind w:left="360" w:hanging="360"/>
      </w:pPr>
      <w:rPr>
        <w:rFonts w:hint="default"/>
      </w:rPr>
    </w:lvl>
    <w:lvl w:ilvl="1">
      <w:start w:val="5"/>
      <w:numFmt w:val="decimal"/>
      <w:lvlText w:val="%1.6"/>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D0302"/>
    <w:multiLevelType w:val="hybridMultilevel"/>
    <w:tmpl w:val="277E7B3C"/>
    <w:lvl w:ilvl="0" w:tplc="24B822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8F677F"/>
    <w:multiLevelType w:val="hybridMultilevel"/>
    <w:tmpl w:val="7E68EB5A"/>
    <w:lvl w:ilvl="0" w:tplc="0EF887F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1C3303"/>
    <w:multiLevelType w:val="multilevel"/>
    <w:tmpl w:val="E656F0EE"/>
    <w:lvl w:ilvl="0">
      <w:start w:val="1"/>
      <w:numFmt w:val="bullet"/>
      <w:lvlText w:val="●"/>
      <w:lvlJc w:val="left"/>
      <w:pPr>
        <w:ind w:left="720" w:hanging="360"/>
      </w:pPr>
      <w:rPr>
        <w:rFonts w:ascii="Noto Sans Symbols" w:eastAsia="Noto Sans Symbols" w:hAnsi="Noto Sans Symbols" w:cs="Noto Sans Symbols"/>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9A06D1"/>
    <w:multiLevelType w:val="multilevel"/>
    <w:tmpl w:val="606202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31" w:hanging="720"/>
      </w:pPr>
    </w:lvl>
    <w:lvl w:ilvl="3">
      <w:start w:val="1"/>
      <w:numFmt w:val="decimal"/>
      <w:lvlText w:val="%1.%2.%3.%4"/>
      <w:lvlJc w:val="left"/>
      <w:pPr>
        <w:ind w:left="696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7156DE"/>
    <w:multiLevelType w:val="hybridMultilevel"/>
    <w:tmpl w:val="8F80BE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714FD9"/>
    <w:multiLevelType w:val="hybridMultilevel"/>
    <w:tmpl w:val="0FEAF9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0459D3"/>
    <w:multiLevelType w:val="hybridMultilevel"/>
    <w:tmpl w:val="7DFE17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E94AEB"/>
    <w:multiLevelType w:val="multilevel"/>
    <w:tmpl w:val="AC92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6248E"/>
    <w:multiLevelType w:val="hybridMultilevel"/>
    <w:tmpl w:val="33E4016A"/>
    <w:lvl w:ilvl="0" w:tplc="24B822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AA6389"/>
    <w:multiLevelType w:val="multilevel"/>
    <w:tmpl w:val="987E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65164"/>
    <w:multiLevelType w:val="hybridMultilevel"/>
    <w:tmpl w:val="CAB8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24066"/>
    <w:multiLevelType w:val="hybridMultilevel"/>
    <w:tmpl w:val="7660C1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0282AD8"/>
    <w:multiLevelType w:val="hybridMultilevel"/>
    <w:tmpl w:val="A43AE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A96AE2"/>
    <w:multiLevelType w:val="hybridMultilevel"/>
    <w:tmpl w:val="4B649E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E793D"/>
    <w:multiLevelType w:val="hybridMultilevel"/>
    <w:tmpl w:val="F580CA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D5071"/>
    <w:multiLevelType w:val="hybridMultilevel"/>
    <w:tmpl w:val="C64610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8F5B2D"/>
    <w:multiLevelType w:val="hybridMultilevel"/>
    <w:tmpl w:val="37B6BF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CB2F8C"/>
    <w:multiLevelType w:val="multilevel"/>
    <w:tmpl w:val="87CE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15207"/>
    <w:multiLevelType w:val="hybridMultilevel"/>
    <w:tmpl w:val="7FE84500"/>
    <w:lvl w:ilvl="0" w:tplc="040C0009">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2" w15:restartNumberingAfterBreak="0">
    <w:nsid w:val="41081CCA"/>
    <w:multiLevelType w:val="hybridMultilevel"/>
    <w:tmpl w:val="922083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5E944EA"/>
    <w:multiLevelType w:val="hybridMultilevel"/>
    <w:tmpl w:val="44A82D5E"/>
    <w:lvl w:ilvl="0" w:tplc="224E923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659090F"/>
    <w:multiLevelType w:val="multilevel"/>
    <w:tmpl w:val="5AC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100CE"/>
    <w:multiLevelType w:val="hybridMultilevel"/>
    <w:tmpl w:val="F64C518C"/>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E961DB5"/>
    <w:multiLevelType w:val="hybridMultilevel"/>
    <w:tmpl w:val="CB6C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15448"/>
    <w:multiLevelType w:val="hybridMultilevel"/>
    <w:tmpl w:val="13CE1C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C35E8"/>
    <w:multiLevelType w:val="hybridMultilevel"/>
    <w:tmpl w:val="AD08C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1B27E9"/>
    <w:multiLevelType w:val="hybridMultilevel"/>
    <w:tmpl w:val="A318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C3223"/>
    <w:multiLevelType w:val="multilevel"/>
    <w:tmpl w:val="86EEF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E68C4"/>
    <w:multiLevelType w:val="hybridMultilevel"/>
    <w:tmpl w:val="15EA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2534B"/>
    <w:multiLevelType w:val="multilevel"/>
    <w:tmpl w:val="DB4452F2"/>
    <w:lvl w:ilvl="0">
      <w:start w:val="1"/>
      <w:numFmt w:val="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0362025"/>
    <w:multiLevelType w:val="hybridMultilevel"/>
    <w:tmpl w:val="DA2083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0B7F3C"/>
    <w:multiLevelType w:val="multilevel"/>
    <w:tmpl w:val="E1E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BC63AF"/>
    <w:multiLevelType w:val="multilevel"/>
    <w:tmpl w:val="FB4AE2C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7D432F"/>
    <w:multiLevelType w:val="multilevel"/>
    <w:tmpl w:val="6EE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11006">
    <w:abstractNumId w:val="6"/>
  </w:num>
  <w:num w:numId="2" w16cid:durableId="1111389738">
    <w:abstractNumId w:val="35"/>
  </w:num>
  <w:num w:numId="3" w16cid:durableId="856236889">
    <w:abstractNumId w:val="5"/>
  </w:num>
  <w:num w:numId="4" w16cid:durableId="183784823">
    <w:abstractNumId w:val="32"/>
  </w:num>
  <w:num w:numId="5" w16cid:durableId="1734160551">
    <w:abstractNumId w:val="19"/>
  </w:num>
  <w:num w:numId="6" w16cid:durableId="1669554696">
    <w:abstractNumId w:val="22"/>
  </w:num>
  <w:num w:numId="7" w16cid:durableId="1676417471">
    <w:abstractNumId w:val="14"/>
  </w:num>
  <w:num w:numId="8" w16cid:durableId="328796927">
    <w:abstractNumId w:val="23"/>
  </w:num>
  <w:num w:numId="9" w16cid:durableId="109053288">
    <w:abstractNumId w:val="15"/>
  </w:num>
  <w:num w:numId="10" w16cid:durableId="1998876131">
    <w:abstractNumId w:val="28"/>
  </w:num>
  <w:num w:numId="11" w16cid:durableId="1808232466">
    <w:abstractNumId w:val="8"/>
  </w:num>
  <w:num w:numId="12" w16cid:durableId="1627420703">
    <w:abstractNumId w:val="1"/>
  </w:num>
  <w:num w:numId="13" w16cid:durableId="1085346165">
    <w:abstractNumId w:val="0"/>
    <w:lvlOverride w:ilvl="0">
      <w:startOverride w:val="1"/>
    </w:lvlOverride>
  </w:num>
  <w:num w:numId="14" w16cid:durableId="414325095">
    <w:abstractNumId w:val="17"/>
  </w:num>
  <w:num w:numId="15" w16cid:durableId="1388528728">
    <w:abstractNumId w:val="0"/>
    <w:lvlOverride w:ilvl="0">
      <w:startOverride w:val="1"/>
    </w:lvlOverride>
  </w:num>
  <w:num w:numId="16" w16cid:durableId="416446632">
    <w:abstractNumId w:val="0"/>
    <w:lvlOverride w:ilvl="0">
      <w:startOverride w:val="1"/>
    </w:lvlOverride>
  </w:num>
  <w:num w:numId="17" w16cid:durableId="121461987">
    <w:abstractNumId w:val="0"/>
    <w:lvlOverride w:ilvl="0">
      <w:startOverride w:val="1"/>
    </w:lvlOverride>
  </w:num>
  <w:num w:numId="18" w16cid:durableId="2128890646">
    <w:abstractNumId w:val="9"/>
  </w:num>
  <w:num w:numId="19" w16cid:durableId="206962785">
    <w:abstractNumId w:val="16"/>
  </w:num>
  <w:num w:numId="20" w16cid:durableId="661587062">
    <w:abstractNumId w:val="7"/>
  </w:num>
  <w:num w:numId="21" w16cid:durableId="1784376745">
    <w:abstractNumId w:val="20"/>
  </w:num>
  <w:num w:numId="22" w16cid:durableId="1806241264">
    <w:abstractNumId w:val="12"/>
  </w:num>
  <w:num w:numId="23" w16cid:durableId="1648626247">
    <w:abstractNumId w:val="10"/>
  </w:num>
  <w:num w:numId="24" w16cid:durableId="2014259275">
    <w:abstractNumId w:val="18"/>
  </w:num>
  <w:num w:numId="25" w16cid:durableId="2033149265">
    <w:abstractNumId w:val="11"/>
  </w:num>
  <w:num w:numId="26" w16cid:durableId="1866944138">
    <w:abstractNumId w:val="24"/>
  </w:num>
  <w:num w:numId="27" w16cid:durableId="1266619947">
    <w:abstractNumId w:val="30"/>
  </w:num>
  <w:num w:numId="28" w16cid:durableId="1989626058">
    <w:abstractNumId w:val="3"/>
  </w:num>
  <w:num w:numId="29" w16cid:durableId="817310637">
    <w:abstractNumId w:val="34"/>
  </w:num>
  <w:num w:numId="30" w16cid:durableId="1241908351">
    <w:abstractNumId w:val="36"/>
  </w:num>
  <w:num w:numId="31" w16cid:durableId="1185359264">
    <w:abstractNumId w:val="21"/>
  </w:num>
  <w:num w:numId="32" w16cid:durableId="853111150">
    <w:abstractNumId w:val="27"/>
  </w:num>
  <w:num w:numId="33" w16cid:durableId="1685128268">
    <w:abstractNumId w:val="4"/>
  </w:num>
  <w:num w:numId="34" w16cid:durableId="43212515">
    <w:abstractNumId w:val="2"/>
  </w:num>
  <w:num w:numId="35" w16cid:durableId="1012340237">
    <w:abstractNumId w:val="26"/>
  </w:num>
  <w:num w:numId="36" w16cid:durableId="1134324709">
    <w:abstractNumId w:val="29"/>
  </w:num>
  <w:num w:numId="37" w16cid:durableId="1478304576">
    <w:abstractNumId w:val="31"/>
  </w:num>
  <w:num w:numId="38" w16cid:durableId="1061445653">
    <w:abstractNumId w:val="13"/>
  </w:num>
  <w:num w:numId="39" w16cid:durableId="166331305">
    <w:abstractNumId w:val="25"/>
  </w:num>
  <w:num w:numId="40" w16cid:durableId="74842693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en-US" w:vendorID="64" w:dllVersion="6" w:nlCheck="1" w:checkStyle="1"/>
  <w:activeWritingStyle w:appName="MSWord" w:lang="fr-MA" w:vendorID="64" w:dllVersion="6" w:nlCheck="1" w:checkStyle="1"/>
  <w:activeWritingStyle w:appName="MSWord" w:lang="fr-FR"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es-ES" w:vendorID="64" w:dllVersion="6"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7C80"/>
    <w:rsid w:val="00000ABB"/>
    <w:rsid w:val="00007A19"/>
    <w:rsid w:val="0001115B"/>
    <w:rsid w:val="00031473"/>
    <w:rsid w:val="00034720"/>
    <w:rsid w:val="00037151"/>
    <w:rsid w:val="0008302A"/>
    <w:rsid w:val="00084954"/>
    <w:rsid w:val="0009220D"/>
    <w:rsid w:val="0009353F"/>
    <w:rsid w:val="00093E59"/>
    <w:rsid w:val="00095A72"/>
    <w:rsid w:val="000A5789"/>
    <w:rsid w:val="000B156D"/>
    <w:rsid w:val="000B7B51"/>
    <w:rsid w:val="000C0F69"/>
    <w:rsid w:val="000C40E9"/>
    <w:rsid w:val="000C4C67"/>
    <w:rsid w:val="000C7330"/>
    <w:rsid w:val="000E2CDD"/>
    <w:rsid w:val="000E5891"/>
    <w:rsid w:val="000E7862"/>
    <w:rsid w:val="000F4E47"/>
    <w:rsid w:val="000F636A"/>
    <w:rsid w:val="00101B5F"/>
    <w:rsid w:val="00103BFB"/>
    <w:rsid w:val="00112D8D"/>
    <w:rsid w:val="001137E7"/>
    <w:rsid w:val="00114D66"/>
    <w:rsid w:val="00116656"/>
    <w:rsid w:val="00121BCA"/>
    <w:rsid w:val="00126696"/>
    <w:rsid w:val="001316C8"/>
    <w:rsid w:val="00136F4A"/>
    <w:rsid w:val="00142B2B"/>
    <w:rsid w:val="00142BBF"/>
    <w:rsid w:val="00147D54"/>
    <w:rsid w:val="00152E46"/>
    <w:rsid w:val="001538F7"/>
    <w:rsid w:val="001555DF"/>
    <w:rsid w:val="00155CF4"/>
    <w:rsid w:val="00157D40"/>
    <w:rsid w:val="00162D67"/>
    <w:rsid w:val="00166429"/>
    <w:rsid w:val="001732FC"/>
    <w:rsid w:val="00175CF0"/>
    <w:rsid w:val="0018582D"/>
    <w:rsid w:val="001860F5"/>
    <w:rsid w:val="001925B8"/>
    <w:rsid w:val="00193328"/>
    <w:rsid w:val="00193615"/>
    <w:rsid w:val="001A2856"/>
    <w:rsid w:val="001B3D4F"/>
    <w:rsid w:val="001C3B18"/>
    <w:rsid w:val="001D7A96"/>
    <w:rsid w:val="001E05BA"/>
    <w:rsid w:val="001E17A8"/>
    <w:rsid w:val="001E338D"/>
    <w:rsid w:val="001F0604"/>
    <w:rsid w:val="001F1605"/>
    <w:rsid w:val="001F72F0"/>
    <w:rsid w:val="00202FCD"/>
    <w:rsid w:val="002128A4"/>
    <w:rsid w:val="00217A1F"/>
    <w:rsid w:val="00220408"/>
    <w:rsid w:val="00222451"/>
    <w:rsid w:val="002342E6"/>
    <w:rsid w:val="002346B2"/>
    <w:rsid w:val="002427BD"/>
    <w:rsid w:val="00251244"/>
    <w:rsid w:val="00255BEE"/>
    <w:rsid w:val="002608F9"/>
    <w:rsid w:val="00260CE0"/>
    <w:rsid w:val="002625E5"/>
    <w:rsid w:val="002636BC"/>
    <w:rsid w:val="00263D35"/>
    <w:rsid w:val="0027245D"/>
    <w:rsid w:val="00280345"/>
    <w:rsid w:val="002A1A20"/>
    <w:rsid w:val="002A368C"/>
    <w:rsid w:val="002A42B7"/>
    <w:rsid w:val="002B1313"/>
    <w:rsid w:val="002B423B"/>
    <w:rsid w:val="002B7FC0"/>
    <w:rsid w:val="002C6208"/>
    <w:rsid w:val="002D00F2"/>
    <w:rsid w:val="002D02CA"/>
    <w:rsid w:val="002D29EA"/>
    <w:rsid w:val="002D4415"/>
    <w:rsid w:val="002E284C"/>
    <w:rsid w:val="002E3E0A"/>
    <w:rsid w:val="002E7DEE"/>
    <w:rsid w:val="002F3149"/>
    <w:rsid w:val="002F3B39"/>
    <w:rsid w:val="002F5608"/>
    <w:rsid w:val="002F5C94"/>
    <w:rsid w:val="00302AF8"/>
    <w:rsid w:val="00317CA8"/>
    <w:rsid w:val="00317EB0"/>
    <w:rsid w:val="0032384D"/>
    <w:rsid w:val="003317B3"/>
    <w:rsid w:val="003432D0"/>
    <w:rsid w:val="0034351D"/>
    <w:rsid w:val="00345C87"/>
    <w:rsid w:val="00346F0F"/>
    <w:rsid w:val="003556D9"/>
    <w:rsid w:val="00357FB9"/>
    <w:rsid w:val="00365144"/>
    <w:rsid w:val="00371BCF"/>
    <w:rsid w:val="0037481E"/>
    <w:rsid w:val="003806C6"/>
    <w:rsid w:val="00380881"/>
    <w:rsid w:val="003A67B7"/>
    <w:rsid w:val="003B1CE4"/>
    <w:rsid w:val="003C3903"/>
    <w:rsid w:val="003D0993"/>
    <w:rsid w:val="003D6A9F"/>
    <w:rsid w:val="003E299C"/>
    <w:rsid w:val="003F05A8"/>
    <w:rsid w:val="003F18E8"/>
    <w:rsid w:val="003F491F"/>
    <w:rsid w:val="00401E11"/>
    <w:rsid w:val="00402C2E"/>
    <w:rsid w:val="0041228E"/>
    <w:rsid w:val="004132BD"/>
    <w:rsid w:val="0041392E"/>
    <w:rsid w:val="00422B1E"/>
    <w:rsid w:val="00423189"/>
    <w:rsid w:val="00424EB7"/>
    <w:rsid w:val="004302B5"/>
    <w:rsid w:val="00436A10"/>
    <w:rsid w:val="004561B3"/>
    <w:rsid w:val="00456431"/>
    <w:rsid w:val="00460742"/>
    <w:rsid w:val="00462340"/>
    <w:rsid w:val="00470328"/>
    <w:rsid w:val="004722D6"/>
    <w:rsid w:val="00480DDB"/>
    <w:rsid w:val="00481751"/>
    <w:rsid w:val="0048496E"/>
    <w:rsid w:val="0049206C"/>
    <w:rsid w:val="004939EC"/>
    <w:rsid w:val="0049623F"/>
    <w:rsid w:val="0049794B"/>
    <w:rsid w:val="004A1616"/>
    <w:rsid w:val="004A2220"/>
    <w:rsid w:val="004A2BEF"/>
    <w:rsid w:val="004B2DEF"/>
    <w:rsid w:val="004B54B1"/>
    <w:rsid w:val="004D0230"/>
    <w:rsid w:val="004D6F5E"/>
    <w:rsid w:val="004E1646"/>
    <w:rsid w:val="004E4D9A"/>
    <w:rsid w:val="004F144A"/>
    <w:rsid w:val="004F3824"/>
    <w:rsid w:val="004F5013"/>
    <w:rsid w:val="00500991"/>
    <w:rsid w:val="00502D28"/>
    <w:rsid w:val="00503E47"/>
    <w:rsid w:val="0051080A"/>
    <w:rsid w:val="005117CF"/>
    <w:rsid w:val="00517BD9"/>
    <w:rsid w:val="005200DC"/>
    <w:rsid w:val="005203A6"/>
    <w:rsid w:val="00524771"/>
    <w:rsid w:val="005261DD"/>
    <w:rsid w:val="00532097"/>
    <w:rsid w:val="0054502F"/>
    <w:rsid w:val="00551405"/>
    <w:rsid w:val="00553011"/>
    <w:rsid w:val="005542AE"/>
    <w:rsid w:val="005624D7"/>
    <w:rsid w:val="00565867"/>
    <w:rsid w:val="00570BA4"/>
    <w:rsid w:val="00571810"/>
    <w:rsid w:val="00576230"/>
    <w:rsid w:val="005831D8"/>
    <w:rsid w:val="00583204"/>
    <w:rsid w:val="00585784"/>
    <w:rsid w:val="00590142"/>
    <w:rsid w:val="0059018A"/>
    <w:rsid w:val="00591E8B"/>
    <w:rsid w:val="005A40D7"/>
    <w:rsid w:val="005A4193"/>
    <w:rsid w:val="005A6FA4"/>
    <w:rsid w:val="005B0F67"/>
    <w:rsid w:val="005B12B8"/>
    <w:rsid w:val="005B3AF6"/>
    <w:rsid w:val="005B64FF"/>
    <w:rsid w:val="005D3FE1"/>
    <w:rsid w:val="005D6EE4"/>
    <w:rsid w:val="005D7EB7"/>
    <w:rsid w:val="005E0398"/>
    <w:rsid w:val="005F5AF5"/>
    <w:rsid w:val="005F6788"/>
    <w:rsid w:val="005F7CBD"/>
    <w:rsid w:val="00623D39"/>
    <w:rsid w:val="00630686"/>
    <w:rsid w:val="00630F8E"/>
    <w:rsid w:val="00632467"/>
    <w:rsid w:val="0063656E"/>
    <w:rsid w:val="00650AB2"/>
    <w:rsid w:val="006629D9"/>
    <w:rsid w:val="00670413"/>
    <w:rsid w:val="0067360B"/>
    <w:rsid w:val="006736F1"/>
    <w:rsid w:val="0067476B"/>
    <w:rsid w:val="006766F0"/>
    <w:rsid w:val="006804CC"/>
    <w:rsid w:val="00681616"/>
    <w:rsid w:val="00683B88"/>
    <w:rsid w:val="006840A7"/>
    <w:rsid w:val="0069456E"/>
    <w:rsid w:val="006A40BC"/>
    <w:rsid w:val="006A43AC"/>
    <w:rsid w:val="006A5901"/>
    <w:rsid w:val="006A5E37"/>
    <w:rsid w:val="006C335F"/>
    <w:rsid w:val="006C6036"/>
    <w:rsid w:val="006C7A9B"/>
    <w:rsid w:val="006D6A45"/>
    <w:rsid w:val="006E0882"/>
    <w:rsid w:val="006E29E0"/>
    <w:rsid w:val="006E3F43"/>
    <w:rsid w:val="006E5BFE"/>
    <w:rsid w:val="006F74EA"/>
    <w:rsid w:val="0070333C"/>
    <w:rsid w:val="00703D41"/>
    <w:rsid w:val="0070437D"/>
    <w:rsid w:val="007118F9"/>
    <w:rsid w:val="00712EC1"/>
    <w:rsid w:val="00714532"/>
    <w:rsid w:val="00722379"/>
    <w:rsid w:val="00723537"/>
    <w:rsid w:val="0072421F"/>
    <w:rsid w:val="00736ECE"/>
    <w:rsid w:val="00737C80"/>
    <w:rsid w:val="00744302"/>
    <w:rsid w:val="00753576"/>
    <w:rsid w:val="007539BF"/>
    <w:rsid w:val="00755166"/>
    <w:rsid w:val="00756D08"/>
    <w:rsid w:val="00766B92"/>
    <w:rsid w:val="00767103"/>
    <w:rsid w:val="007748B7"/>
    <w:rsid w:val="00785657"/>
    <w:rsid w:val="007A4ACE"/>
    <w:rsid w:val="007A628A"/>
    <w:rsid w:val="007A7709"/>
    <w:rsid w:val="007B16B4"/>
    <w:rsid w:val="007B2EB0"/>
    <w:rsid w:val="007B565C"/>
    <w:rsid w:val="007D1CCA"/>
    <w:rsid w:val="007D2585"/>
    <w:rsid w:val="007D523E"/>
    <w:rsid w:val="007E2DAF"/>
    <w:rsid w:val="007E3894"/>
    <w:rsid w:val="007E573D"/>
    <w:rsid w:val="007E67A0"/>
    <w:rsid w:val="007F5355"/>
    <w:rsid w:val="007F560D"/>
    <w:rsid w:val="00800338"/>
    <w:rsid w:val="00802D9D"/>
    <w:rsid w:val="00806D2A"/>
    <w:rsid w:val="00811F8E"/>
    <w:rsid w:val="00820996"/>
    <w:rsid w:val="00821657"/>
    <w:rsid w:val="00824FCA"/>
    <w:rsid w:val="00832FF5"/>
    <w:rsid w:val="008365C6"/>
    <w:rsid w:val="00844A4F"/>
    <w:rsid w:val="008468C8"/>
    <w:rsid w:val="00855BBB"/>
    <w:rsid w:val="00864859"/>
    <w:rsid w:val="008710A7"/>
    <w:rsid w:val="00875CB6"/>
    <w:rsid w:val="0088349E"/>
    <w:rsid w:val="00886573"/>
    <w:rsid w:val="008A132E"/>
    <w:rsid w:val="008A7E4C"/>
    <w:rsid w:val="008C0E20"/>
    <w:rsid w:val="008C467F"/>
    <w:rsid w:val="008D536F"/>
    <w:rsid w:val="008D6D59"/>
    <w:rsid w:val="008E1671"/>
    <w:rsid w:val="008E3C5C"/>
    <w:rsid w:val="008F3758"/>
    <w:rsid w:val="00903C26"/>
    <w:rsid w:val="00907056"/>
    <w:rsid w:val="009255E4"/>
    <w:rsid w:val="009264F8"/>
    <w:rsid w:val="0092751A"/>
    <w:rsid w:val="00940E71"/>
    <w:rsid w:val="00945DE8"/>
    <w:rsid w:val="00947CFE"/>
    <w:rsid w:val="009506DF"/>
    <w:rsid w:val="00956058"/>
    <w:rsid w:val="0097213C"/>
    <w:rsid w:val="0097382E"/>
    <w:rsid w:val="00980377"/>
    <w:rsid w:val="00982777"/>
    <w:rsid w:val="00995240"/>
    <w:rsid w:val="0099529A"/>
    <w:rsid w:val="009A2C90"/>
    <w:rsid w:val="009B1728"/>
    <w:rsid w:val="009B2E63"/>
    <w:rsid w:val="009B6149"/>
    <w:rsid w:val="009C1C26"/>
    <w:rsid w:val="009C3777"/>
    <w:rsid w:val="009C64AB"/>
    <w:rsid w:val="009D2874"/>
    <w:rsid w:val="009D2930"/>
    <w:rsid w:val="009E1F8E"/>
    <w:rsid w:val="009E5F8A"/>
    <w:rsid w:val="009E6496"/>
    <w:rsid w:val="009E6823"/>
    <w:rsid w:val="00A2425F"/>
    <w:rsid w:val="00A24909"/>
    <w:rsid w:val="00A26A98"/>
    <w:rsid w:val="00A35742"/>
    <w:rsid w:val="00A3584C"/>
    <w:rsid w:val="00A458C7"/>
    <w:rsid w:val="00A524BA"/>
    <w:rsid w:val="00A56DD2"/>
    <w:rsid w:val="00A61649"/>
    <w:rsid w:val="00A653F9"/>
    <w:rsid w:val="00A6750E"/>
    <w:rsid w:val="00A67A56"/>
    <w:rsid w:val="00A67FF4"/>
    <w:rsid w:val="00A74441"/>
    <w:rsid w:val="00A83393"/>
    <w:rsid w:val="00A91B1E"/>
    <w:rsid w:val="00AA3B28"/>
    <w:rsid w:val="00AA5A4C"/>
    <w:rsid w:val="00AB1AF2"/>
    <w:rsid w:val="00AB33A1"/>
    <w:rsid w:val="00AC1AD2"/>
    <w:rsid w:val="00AC2059"/>
    <w:rsid w:val="00AD1F84"/>
    <w:rsid w:val="00AD2F20"/>
    <w:rsid w:val="00AD5D13"/>
    <w:rsid w:val="00AE0635"/>
    <w:rsid w:val="00AE62D2"/>
    <w:rsid w:val="00AE7ADA"/>
    <w:rsid w:val="00B04EF7"/>
    <w:rsid w:val="00B05563"/>
    <w:rsid w:val="00B07ACE"/>
    <w:rsid w:val="00B106DE"/>
    <w:rsid w:val="00B13CA7"/>
    <w:rsid w:val="00B16A87"/>
    <w:rsid w:val="00B37623"/>
    <w:rsid w:val="00B43A9D"/>
    <w:rsid w:val="00B45324"/>
    <w:rsid w:val="00B624D0"/>
    <w:rsid w:val="00B66EDA"/>
    <w:rsid w:val="00B71111"/>
    <w:rsid w:val="00B75ACF"/>
    <w:rsid w:val="00B766A9"/>
    <w:rsid w:val="00B76897"/>
    <w:rsid w:val="00B76E33"/>
    <w:rsid w:val="00B86385"/>
    <w:rsid w:val="00BA1C19"/>
    <w:rsid w:val="00BA7338"/>
    <w:rsid w:val="00BC1214"/>
    <w:rsid w:val="00BC1CF0"/>
    <w:rsid w:val="00BC5581"/>
    <w:rsid w:val="00BD4881"/>
    <w:rsid w:val="00BD5207"/>
    <w:rsid w:val="00BF5091"/>
    <w:rsid w:val="00BF766D"/>
    <w:rsid w:val="00C01983"/>
    <w:rsid w:val="00C1043B"/>
    <w:rsid w:val="00C127C6"/>
    <w:rsid w:val="00C145A5"/>
    <w:rsid w:val="00C22019"/>
    <w:rsid w:val="00C35641"/>
    <w:rsid w:val="00C358B3"/>
    <w:rsid w:val="00C37C49"/>
    <w:rsid w:val="00C4703E"/>
    <w:rsid w:val="00C532F7"/>
    <w:rsid w:val="00C537A4"/>
    <w:rsid w:val="00C5404C"/>
    <w:rsid w:val="00C64343"/>
    <w:rsid w:val="00C65788"/>
    <w:rsid w:val="00C67962"/>
    <w:rsid w:val="00C67AD4"/>
    <w:rsid w:val="00C7629A"/>
    <w:rsid w:val="00C924D4"/>
    <w:rsid w:val="00CB385F"/>
    <w:rsid w:val="00CD0BF6"/>
    <w:rsid w:val="00CD5DBE"/>
    <w:rsid w:val="00CE2BC3"/>
    <w:rsid w:val="00D044A0"/>
    <w:rsid w:val="00D0754B"/>
    <w:rsid w:val="00D11275"/>
    <w:rsid w:val="00D17832"/>
    <w:rsid w:val="00D21EF0"/>
    <w:rsid w:val="00D254BA"/>
    <w:rsid w:val="00D26605"/>
    <w:rsid w:val="00D30223"/>
    <w:rsid w:val="00D3268B"/>
    <w:rsid w:val="00D42594"/>
    <w:rsid w:val="00D43B3E"/>
    <w:rsid w:val="00D45B73"/>
    <w:rsid w:val="00D5244E"/>
    <w:rsid w:val="00D54685"/>
    <w:rsid w:val="00D80566"/>
    <w:rsid w:val="00D914E7"/>
    <w:rsid w:val="00D91549"/>
    <w:rsid w:val="00D96447"/>
    <w:rsid w:val="00DB36AB"/>
    <w:rsid w:val="00DC106A"/>
    <w:rsid w:val="00DC1F3B"/>
    <w:rsid w:val="00DC243E"/>
    <w:rsid w:val="00DC5141"/>
    <w:rsid w:val="00DC6587"/>
    <w:rsid w:val="00DC67B0"/>
    <w:rsid w:val="00DF04C8"/>
    <w:rsid w:val="00DF5053"/>
    <w:rsid w:val="00E126F4"/>
    <w:rsid w:val="00E12C67"/>
    <w:rsid w:val="00E145B0"/>
    <w:rsid w:val="00E23DFD"/>
    <w:rsid w:val="00E24C49"/>
    <w:rsid w:val="00E2528D"/>
    <w:rsid w:val="00E44E63"/>
    <w:rsid w:val="00E459AD"/>
    <w:rsid w:val="00E52B32"/>
    <w:rsid w:val="00E52C98"/>
    <w:rsid w:val="00E566D3"/>
    <w:rsid w:val="00E6320A"/>
    <w:rsid w:val="00E64BF3"/>
    <w:rsid w:val="00E6614B"/>
    <w:rsid w:val="00E7005E"/>
    <w:rsid w:val="00E73BED"/>
    <w:rsid w:val="00E84C56"/>
    <w:rsid w:val="00E915A9"/>
    <w:rsid w:val="00E92E0E"/>
    <w:rsid w:val="00E92E22"/>
    <w:rsid w:val="00E930C3"/>
    <w:rsid w:val="00E9508B"/>
    <w:rsid w:val="00EA2174"/>
    <w:rsid w:val="00EA2565"/>
    <w:rsid w:val="00EC4AFC"/>
    <w:rsid w:val="00EE62F5"/>
    <w:rsid w:val="00EF6A89"/>
    <w:rsid w:val="00F031CA"/>
    <w:rsid w:val="00F06CD5"/>
    <w:rsid w:val="00F14745"/>
    <w:rsid w:val="00F1519B"/>
    <w:rsid w:val="00F15304"/>
    <w:rsid w:val="00F17680"/>
    <w:rsid w:val="00F20ED9"/>
    <w:rsid w:val="00F230AB"/>
    <w:rsid w:val="00F244A8"/>
    <w:rsid w:val="00F26932"/>
    <w:rsid w:val="00F278B5"/>
    <w:rsid w:val="00F31A75"/>
    <w:rsid w:val="00F418B3"/>
    <w:rsid w:val="00F4725C"/>
    <w:rsid w:val="00F57B25"/>
    <w:rsid w:val="00F60CFD"/>
    <w:rsid w:val="00F642B7"/>
    <w:rsid w:val="00F7695F"/>
    <w:rsid w:val="00F82BCF"/>
    <w:rsid w:val="00F82F65"/>
    <w:rsid w:val="00F9584E"/>
    <w:rsid w:val="00FB00C7"/>
    <w:rsid w:val="00FB2DC8"/>
    <w:rsid w:val="00FC0307"/>
    <w:rsid w:val="00FC1AF0"/>
    <w:rsid w:val="00FC32FE"/>
    <w:rsid w:val="00FC5397"/>
    <w:rsid w:val="00FD0474"/>
    <w:rsid w:val="00FD1AB8"/>
    <w:rsid w:val="00FD2C38"/>
    <w:rsid w:val="00FE021F"/>
    <w:rsid w:val="00FE3789"/>
    <w:rsid w:val="00FE4CF6"/>
    <w:rsid w:val="00FE51AF"/>
    <w:rsid w:val="00FF7E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16B3"/>
  <w15:docId w15:val="{1F5B948E-95FA-4407-BFA3-8296B4D6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240" w:after="120"/>
      <w:ind w:left="432" w:hanging="432"/>
      <w:outlineLvl w:val="0"/>
    </w:pPr>
    <w:rPr>
      <w:b/>
      <w:smallCaps/>
    </w:rPr>
  </w:style>
  <w:style w:type="paragraph" w:styleId="Titolo2">
    <w:name w:val="heading 2"/>
    <w:basedOn w:val="Normale"/>
    <w:next w:val="Normale"/>
    <w:pPr>
      <w:spacing w:before="120" w:after="120"/>
      <w:ind w:left="578" w:hanging="578"/>
      <w:outlineLvl w:val="1"/>
    </w:pPr>
    <w:rPr>
      <w:b/>
      <w:smallCaps/>
    </w:rPr>
  </w:style>
  <w:style w:type="paragraph" w:styleId="Titolo3">
    <w:name w:val="heading 3"/>
    <w:basedOn w:val="Normale"/>
    <w:next w:val="Normale"/>
    <w:pPr>
      <w:tabs>
        <w:tab w:val="left" w:pos="900"/>
      </w:tabs>
      <w:spacing w:before="60" w:after="60"/>
      <w:ind w:left="851" w:hanging="720"/>
      <w:jc w:val="both"/>
      <w:outlineLvl w:val="2"/>
    </w:pPr>
    <w:rPr>
      <w:b/>
    </w:rPr>
  </w:style>
  <w:style w:type="paragraph" w:styleId="Titolo4">
    <w:name w:val="heading 4"/>
    <w:basedOn w:val="Normale"/>
    <w:next w:val="Normale"/>
    <w:pPr>
      <w:keepNext/>
      <w:keepLines/>
      <w:spacing w:before="120" w:after="120"/>
      <w:ind w:left="6960" w:hanging="863"/>
      <w:jc w:val="both"/>
      <w:outlineLvl w:val="3"/>
    </w:pPr>
    <w:rPr>
      <w:i/>
      <w:u w:val="single"/>
    </w:rPr>
  </w:style>
  <w:style w:type="paragraph" w:styleId="Titolo5">
    <w:name w:val="heading 5"/>
    <w:basedOn w:val="Normale"/>
    <w:next w:val="Normale"/>
    <w:pPr>
      <w:keepNext/>
      <w:keepLines/>
      <w:spacing w:before="40"/>
      <w:ind w:left="1008" w:hanging="1008"/>
      <w:jc w:val="both"/>
      <w:outlineLvl w:val="4"/>
    </w:pPr>
    <w:rPr>
      <w:rFonts w:ascii="Calibri" w:eastAsia="Calibri" w:hAnsi="Calibri" w:cs="Calibri"/>
      <w:color w:val="2E75B5"/>
    </w:rPr>
  </w:style>
  <w:style w:type="paragraph" w:styleId="Titolo6">
    <w:name w:val="heading 6"/>
    <w:basedOn w:val="Normale"/>
    <w:next w:val="Normale"/>
    <w:pPr>
      <w:keepNext/>
      <w:keepLines/>
      <w:spacing w:before="40"/>
      <w:ind w:left="1152" w:hanging="1152"/>
      <w:outlineLvl w:val="5"/>
    </w:pPr>
    <w:rPr>
      <w:rFonts w:ascii="Calibri" w:eastAsia="Calibri" w:hAnsi="Calibri" w:cs="Calibri"/>
      <w:color w:val="1E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jc w:val="both"/>
    </w:pPr>
    <w:rPr>
      <w:rFonts w:ascii="Calibri" w:eastAsia="Calibri" w:hAnsi="Calibri" w:cs="Calibri"/>
      <w:sz w:val="56"/>
      <w:szCs w:val="56"/>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rPr>
      <w:sz w:val="20"/>
      <w:szCs w:val="20"/>
    </w:rPr>
    <w:tblPr>
      <w:tblStyleRowBandSize w:val="1"/>
      <w:tblStyleColBandSize w:val="1"/>
      <w:tblCellMar>
        <w:left w:w="108" w:type="dxa"/>
        <w:right w:w="108" w:type="dxa"/>
      </w:tblCellMar>
    </w:tblPr>
  </w:style>
  <w:style w:type="table" w:customStyle="1" w:styleId="9">
    <w:name w:val="9"/>
    <w:basedOn w:val="TableNormal1"/>
    <w:rPr>
      <w:sz w:val="20"/>
      <w:szCs w:val="20"/>
    </w:rPr>
    <w:tblPr>
      <w:tblStyleRowBandSize w:val="1"/>
      <w:tblStyleColBandSize w:val="1"/>
      <w:tblCellMar>
        <w:left w:w="108" w:type="dxa"/>
        <w:right w:w="108" w:type="dxa"/>
      </w:tblCellMar>
    </w:tblPr>
  </w:style>
  <w:style w:type="table" w:customStyle="1" w:styleId="8">
    <w:name w:val="8"/>
    <w:basedOn w:val="TableNormal1"/>
    <w:rPr>
      <w:sz w:val="20"/>
      <w:szCs w:val="20"/>
    </w:rPr>
    <w:tblPr>
      <w:tblStyleRowBandSize w:val="1"/>
      <w:tblStyleColBandSize w:val="1"/>
      <w:tblCellMar>
        <w:left w:w="108" w:type="dxa"/>
        <w:right w:w="108" w:type="dxa"/>
      </w:tblCellMar>
    </w:tblPr>
  </w:style>
  <w:style w:type="table" w:customStyle="1" w:styleId="7">
    <w:name w:val="7"/>
    <w:basedOn w:val="TableNormal1"/>
    <w:rPr>
      <w:sz w:val="20"/>
      <w:szCs w:val="20"/>
    </w:rPr>
    <w:tblPr>
      <w:tblStyleRowBandSize w:val="1"/>
      <w:tblStyleColBandSize w:val="1"/>
      <w:tblCellMar>
        <w:left w:w="108" w:type="dxa"/>
        <w:right w:w="108" w:type="dxa"/>
      </w:tblCellMar>
    </w:tblPr>
  </w:style>
  <w:style w:type="table" w:customStyle="1" w:styleId="6">
    <w:name w:val="6"/>
    <w:basedOn w:val="TableNormal1"/>
    <w:rPr>
      <w:sz w:val="20"/>
      <w:szCs w:val="20"/>
    </w:rPr>
    <w:tblPr>
      <w:tblStyleRowBandSize w:val="1"/>
      <w:tblStyleColBandSize w:val="1"/>
      <w:tblCellMar>
        <w:left w:w="108" w:type="dxa"/>
        <w:right w:w="108" w:type="dxa"/>
      </w:tblCellMar>
    </w:tblPr>
  </w:style>
  <w:style w:type="table" w:customStyle="1" w:styleId="5">
    <w:name w:val="5"/>
    <w:basedOn w:val="TableNormal1"/>
    <w:rPr>
      <w:sz w:val="20"/>
      <w:szCs w:val="20"/>
    </w:rPr>
    <w:tblPr>
      <w:tblStyleRowBandSize w:val="1"/>
      <w:tblStyleColBandSize w:val="1"/>
      <w:tblCellMar>
        <w:left w:w="108" w:type="dxa"/>
        <w:right w:w="108" w:type="dxa"/>
      </w:tblCellMar>
    </w:tblPr>
  </w:style>
  <w:style w:type="table" w:customStyle="1" w:styleId="4">
    <w:name w:val="4"/>
    <w:basedOn w:val="TableNormal1"/>
    <w:rPr>
      <w:sz w:val="20"/>
      <w:szCs w:val="20"/>
    </w:rPr>
    <w:tblPr>
      <w:tblStyleRowBandSize w:val="1"/>
      <w:tblStyleColBandSize w:val="1"/>
      <w:tblCellMar>
        <w:left w:w="108" w:type="dxa"/>
        <w:right w:w="108" w:type="dxa"/>
      </w:tblCellMar>
    </w:tblPr>
  </w:style>
  <w:style w:type="table" w:customStyle="1" w:styleId="3">
    <w:name w:val="3"/>
    <w:basedOn w:val="TableNormal1"/>
    <w:rPr>
      <w:sz w:val="20"/>
      <w:szCs w:val="20"/>
    </w:rPr>
    <w:tblPr>
      <w:tblStyleRowBandSize w:val="1"/>
      <w:tblStyleColBandSize w:val="1"/>
      <w:tblCellMar>
        <w:left w:w="108" w:type="dxa"/>
        <w:right w:w="108" w:type="dxa"/>
      </w:tblCellMar>
    </w:tblPr>
  </w:style>
  <w:style w:type="table" w:customStyle="1" w:styleId="2">
    <w:name w:val="2"/>
    <w:basedOn w:val="TableNormal1"/>
    <w:rPr>
      <w:sz w:val="20"/>
      <w:szCs w:val="20"/>
    </w:rPr>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2E7DE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7DEE"/>
    <w:rPr>
      <w:rFonts w:ascii="Segoe UI" w:hAnsi="Segoe UI" w:cs="Segoe UI"/>
      <w:sz w:val="18"/>
      <w:szCs w:val="18"/>
    </w:rPr>
  </w:style>
  <w:style w:type="paragraph" w:styleId="Intestazione">
    <w:name w:val="header"/>
    <w:basedOn w:val="Normale"/>
    <w:link w:val="IntestazioneCarattere"/>
    <w:uiPriority w:val="99"/>
    <w:unhideWhenUsed/>
    <w:rsid w:val="002E7DEE"/>
    <w:pPr>
      <w:tabs>
        <w:tab w:val="center" w:pos="4536"/>
        <w:tab w:val="right" w:pos="9072"/>
      </w:tabs>
    </w:pPr>
  </w:style>
  <w:style w:type="character" w:customStyle="1" w:styleId="IntestazioneCarattere">
    <w:name w:val="Intestazione Carattere"/>
    <w:basedOn w:val="Carpredefinitoparagrafo"/>
    <w:link w:val="Intestazione"/>
    <w:uiPriority w:val="99"/>
    <w:rsid w:val="002E7DEE"/>
  </w:style>
  <w:style w:type="paragraph" w:styleId="Pidipagina">
    <w:name w:val="footer"/>
    <w:basedOn w:val="Normale"/>
    <w:link w:val="PidipaginaCarattere"/>
    <w:uiPriority w:val="99"/>
    <w:unhideWhenUsed/>
    <w:rsid w:val="002E7DEE"/>
    <w:pPr>
      <w:tabs>
        <w:tab w:val="center" w:pos="4536"/>
        <w:tab w:val="right" w:pos="9072"/>
      </w:tabs>
    </w:pPr>
  </w:style>
  <w:style w:type="character" w:customStyle="1" w:styleId="PidipaginaCarattere">
    <w:name w:val="Piè di pagina Carattere"/>
    <w:basedOn w:val="Carpredefinitoparagrafo"/>
    <w:link w:val="Pidipagina"/>
    <w:uiPriority w:val="99"/>
    <w:rsid w:val="002E7DEE"/>
  </w:style>
  <w:style w:type="paragraph" w:styleId="Paragrafoelenco">
    <w:name w:val="List Paragraph"/>
    <w:aliases w:val="Llista Nivell1,Lista de nivel 1,Paragraphe de liste PBLH,Bullet Points,Liste Paragraf,Titre 10,Bibliographie1,r2,Paragraphe 2,inspringtekst,Liststycke SKL,Bullet list,Table of contents numbered,içindekiler vb,Normal bullet 2"/>
    <w:basedOn w:val="Normale"/>
    <w:link w:val="ParagrafoelencoCarattere"/>
    <w:uiPriority w:val="34"/>
    <w:qFormat/>
    <w:rsid w:val="002A42B7"/>
    <w:pPr>
      <w:ind w:left="720"/>
      <w:contextualSpacing/>
    </w:pPr>
  </w:style>
  <w:style w:type="paragraph" w:styleId="Sommario1">
    <w:name w:val="toc 1"/>
    <w:basedOn w:val="Normale"/>
    <w:next w:val="Normale"/>
    <w:autoRedefine/>
    <w:uiPriority w:val="39"/>
    <w:unhideWhenUsed/>
    <w:rsid w:val="001555DF"/>
    <w:pPr>
      <w:spacing w:after="100"/>
    </w:pPr>
  </w:style>
  <w:style w:type="paragraph" w:styleId="Sommario2">
    <w:name w:val="toc 2"/>
    <w:basedOn w:val="Normale"/>
    <w:next w:val="Normale"/>
    <w:autoRedefine/>
    <w:uiPriority w:val="39"/>
    <w:unhideWhenUsed/>
    <w:rsid w:val="001555DF"/>
    <w:pPr>
      <w:spacing w:after="100"/>
      <w:ind w:left="240"/>
    </w:pPr>
  </w:style>
  <w:style w:type="paragraph" w:styleId="Sommario3">
    <w:name w:val="toc 3"/>
    <w:basedOn w:val="Normale"/>
    <w:next w:val="Normale"/>
    <w:autoRedefine/>
    <w:uiPriority w:val="39"/>
    <w:unhideWhenUsed/>
    <w:rsid w:val="001555DF"/>
    <w:pPr>
      <w:spacing w:after="100"/>
      <w:ind w:left="480"/>
    </w:pPr>
  </w:style>
  <w:style w:type="character" w:styleId="Collegamentoipertestuale">
    <w:name w:val="Hyperlink"/>
    <w:basedOn w:val="Carpredefinitoparagrafo"/>
    <w:uiPriority w:val="99"/>
    <w:unhideWhenUsed/>
    <w:rsid w:val="001555DF"/>
    <w:rPr>
      <w:color w:val="0000FF" w:themeColor="hyperlink"/>
      <w:u w:val="single"/>
    </w:rPr>
  </w:style>
  <w:style w:type="table" w:styleId="Grigliatabella">
    <w:name w:val="Table Grid"/>
    <w:basedOn w:val="Tabellanormale"/>
    <w:uiPriority w:val="39"/>
    <w:rsid w:val="007A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D0754B"/>
  </w:style>
  <w:style w:type="character" w:customStyle="1" w:styleId="ParagrafoelencoCarattere">
    <w:name w:val="Paragrafo elenco Carattere"/>
    <w:aliases w:val="Llista Nivell1 Carattere,Lista de nivel 1 Carattere,Paragraphe de liste PBLH Carattere,Bullet Points Carattere,Liste Paragraf Carattere,Titre 10 Carattere,Bibliographie1 Carattere,r2 Carattere,Paragraphe 2 Carattere"/>
    <w:link w:val="Paragrafoelenco"/>
    <w:uiPriority w:val="34"/>
    <w:qFormat/>
    <w:locked/>
    <w:rsid w:val="00C35641"/>
  </w:style>
  <w:style w:type="character" w:customStyle="1" w:styleId="NessunaspaziaturaCarattere">
    <w:name w:val="Nessuna spaziatura Carattere"/>
    <w:link w:val="Nessunaspaziatura"/>
    <w:uiPriority w:val="1"/>
    <w:rsid w:val="000C7330"/>
  </w:style>
  <w:style w:type="paragraph" w:styleId="Soggettocommento">
    <w:name w:val="annotation subject"/>
    <w:basedOn w:val="Testocommento"/>
    <w:next w:val="Testocommento"/>
    <w:link w:val="SoggettocommentoCarattere"/>
    <w:uiPriority w:val="99"/>
    <w:semiHidden/>
    <w:unhideWhenUsed/>
    <w:rsid w:val="00A61649"/>
    <w:rPr>
      <w:b/>
      <w:bCs/>
    </w:rPr>
  </w:style>
  <w:style w:type="character" w:customStyle="1" w:styleId="SoggettocommentoCarattere">
    <w:name w:val="Soggetto commento Carattere"/>
    <w:basedOn w:val="TestocommentoCarattere"/>
    <w:link w:val="Soggettocommento"/>
    <w:uiPriority w:val="99"/>
    <w:semiHidden/>
    <w:rsid w:val="00A61649"/>
    <w:rPr>
      <w:b/>
      <w:bCs/>
      <w:sz w:val="20"/>
      <w:szCs w:val="20"/>
    </w:rPr>
  </w:style>
  <w:style w:type="paragraph" w:styleId="Revisione">
    <w:name w:val="Revision"/>
    <w:hidden/>
    <w:uiPriority w:val="99"/>
    <w:semiHidden/>
    <w:rsid w:val="00FE51AF"/>
  </w:style>
  <w:style w:type="paragraph" w:styleId="NormaleWeb">
    <w:name w:val="Normal (Web)"/>
    <w:basedOn w:val="Normale"/>
    <w:uiPriority w:val="99"/>
    <w:unhideWhenUsed/>
    <w:rsid w:val="00A56DD2"/>
    <w:pPr>
      <w:spacing w:before="100" w:beforeAutospacing="1" w:after="100" w:afterAutospacing="1"/>
    </w:pPr>
  </w:style>
  <w:style w:type="character" w:styleId="Enfasigrassetto">
    <w:name w:val="Strong"/>
    <w:basedOn w:val="Carpredefinitoparagrafo"/>
    <w:uiPriority w:val="22"/>
    <w:qFormat/>
    <w:rsid w:val="00A67A56"/>
    <w:rPr>
      <w:b/>
      <w:bCs/>
    </w:rPr>
  </w:style>
  <w:style w:type="character" w:customStyle="1" w:styleId="align-middle">
    <w:name w:val="align-middle"/>
    <w:basedOn w:val="Carpredefinitoparagrafo"/>
    <w:rsid w:val="00FC32FE"/>
  </w:style>
  <w:style w:type="paragraph" w:styleId="Puntoelenco">
    <w:name w:val="List Bullet"/>
    <w:basedOn w:val="Normale"/>
    <w:uiPriority w:val="99"/>
    <w:semiHidden/>
    <w:unhideWhenUsed/>
    <w:rsid w:val="00EF6A89"/>
    <w:pPr>
      <w:numPr>
        <w:numId w:val="12"/>
      </w:numPr>
      <w:spacing w:after="200" w:line="276" w:lineRule="auto"/>
      <w:contextualSpacing/>
    </w:pPr>
    <w:rPr>
      <w:rFonts w:asciiTheme="minorHAnsi" w:eastAsiaTheme="minorEastAsia" w:hAnsiTheme="minorHAnsi" w:cstheme="minorBidi"/>
      <w:sz w:val="22"/>
      <w:szCs w:val="22"/>
      <w:lang w:val="en-US" w:eastAsia="en-US"/>
    </w:rPr>
  </w:style>
  <w:style w:type="paragraph" w:styleId="Numeroelenco">
    <w:name w:val="List Number"/>
    <w:basedOn w:val="Normale"/>
    <w:uiPriority w:val="99"/>
    <w:semiHidden/>
    <w:unhideWhenUsed/>
    <w:rsid w:val="00EF6A89"/>
    <w:pPr>
      <w:numPr>
        <w:numId w:val="13"/>
      </w:numPr>
      <w:spacing w:after="200" w:line="276" w:lineRule="auto"/>
      <w:contextualSpacing/>
    </w:pPr>
    <w:rPr>
      <w:rFonts w:asciiTheme="minorHAnsi" w:eastAsiaTheme="minorEastAsia" w:hAnsiTheme="minorHAnsi" w:cstheme="minorBidi"/>
      <w:sz w:val="22"/>
      <w:szCs w:val="22"/>
      <w:lang w:val="en-US" w:eastAsia="en-US"/>
    </w:rPr>
  </w:style>
  <w:style w:type="table" w:customStyle="1" w:styleId="GridTable4-Accent51">
    <w:name w:val="Grid Table 4 - Accent 51"/>
    <w:basedOn w:val="Tabellanormale"/>
    <w:uiPriority w:val="49"/>
    <w:rsid w:val="00A8339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1">
    <w:name w:val="Grid Table 5 Dark1"/>
    <w:basedOn w:val="Tabellanormale"/>
    <w:uiPriority w:val="50"/>
    <w:rsid w:val="00A833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51">
    <w:name w:val="Plain Table 51"/>
    <w:basedOn w:val="Tabellanormale"/>
    <w:uiPriority w:val="45"/>
    <w:rsid w:val="00A833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imandonotaapidipagina">
    <w:name w:val="footnote reference"/>
    <w:aliases w:val="BVI fnr,16 Point,Superscript 6 Point,Footnote Reference Number,Footnote Reference_LVL6,Footnote Reference_LVL61,Footnote Reference_LVL62,Footnote Reference_LVL63,Footnote Reference_LVL64,Texto nota al pie,Footnote symbol"/>
    <w:link w:val="Char2"/>
    <w:uiPriority w:val="99"/>
    <w:qFormat/>
    <w:rsid w:val="00FD2C38"/>
    <w:rPr>
      <w:vertAlign w:val="superscript"/>
    </w:rPr>
  </w:style>
  <w:style w:type="paragraph" w:styleId="Testonotaapidipagina">
    <w:name w:val="footnote text"/>
    <w:aliases w:val="Schriftart: 9 pt,Schriftart: 10 pt,Schriftart: 8 pt,WB-Fußnotentext,FoodNote,ft,Footnote,Footnote Text Char Char,Footnote Text Char1 Char Char,Footnote Text Char Char Char Char,fn,f,Footnote Text Char1 Cha"/>
    <w:basedOn w:val="Normale"/>
    <w:link w:val="TestonotaapidipaginaCarattere"/>
    <w:uiPriority w:val="99"/>
    <w:qFormat/>
    <w:rsid w:val="00FD2C38"/>
    <w:pPr>
      <w:jc w:val="both"/>
    </w:pPr>
    <w:rPr>
      <w:sz w:val="20"/>
      <w:szCs w:val="20"/>
      <w:lang w:bidi="fr-FR"/>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basedOn w:val="Carpredefinitoparagrafo"/>
    <w:link w:val="Testonotaapidipagina"/>
    <w:uiPriority w:val="99"/>
    <w:rsid w:val="00FD2C38"/>
    <w:rPr>
      <w:sz w:val="20"/>
      <w:szCs w:val="20"/>
      <w:lang w:bidi="fr-FR"/>
    </w:rPr>
  </w:style>
  <w:style w:type="paragraph" w:customStyle="1" w:styleId="Char2">
    <w:name w:val="Char2"/>
    <w:basedOn w:val="Normale"/>
    <w:link w:val="Rimandonotaapidipagina"/>
    <w:uiPriority w:val="99"/>
    <w:rsid w:val="00FD2C38"/>
    <w:pPr>
      <w:spacing w:after="160" w:line="240" w:lineRule="exact"/>
    </w:pPr>
    <w:rPr>
      <w:vertAlign w:val="superscript"/>
    </w:rPr>
  </w:style>
  <w:style w:type="paragraph" w:customStyle="1" w:styleId="NumPar2">
    <w:name w:val="NumPar 2"/>
    <w:basedOn w:val="Titolo2"/>
    <w:next w:val="Normale"/>
    <w:rsid w:val="003D6A9F"/>
    <w:pPr>
      <w:tabs>
        <w:tab w:val="num" w:pos="1200"/>
      </w:tabs>
      <w:spacing w:before="0" w:after="240"/>
      <w:ind w:left="1200" w:hanging="720"/>
      <w:jc w:val="both"/>
      <w:outlineLvl w:val="9"/>
    </w:pPr>
    <w:rPr>
      <w:b w:val="0"/>
      <w:smallCaps w:val="0"/>
      <w:color w:val="000000"/>
      <w:szCs w:val="2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4705">
      <w:bodyDiv w:val="1"/>
      <w:marLeft w:val="0"/>
      <w:marRight w:val="0"/>
      <w:marTop w:val="0"/>
      <w:marBottom w:val="0"/>
      <w:divBdr>
        <w:top w:val="none" w:sz="0" w:space="0" w:color="auto"/>
        <w:left w:val="none" w:sz="0" w:space="0" w:color="auto"/>
        <w:bottom w:val="none" w:sz="0" w:space="0" w:color="auto"/>
        <w:right w:val="none" w:sz="0" w:space="0" w:color="auto"/>
      </w:divBdr>
    </w:div>
    <w:div w:id="76633883">
      <w:bodyDiv w:val="1"/>
      <w:marLeft w:val="0"/>
      <w:marRight w:val="0"/>
      <w:marTop w:val="0"/>
      <w:marBottom w:val="0"/>
      <w:divBdr>
        <w:top w:val="none" w:sz="0" w:space="0" w:color="auto"/>
        <w:left w:val="none" w:sz="0" w:space="0" w:color="auto"/>
        <w:bottom w:val="none" w:sz="0" w:space="0" w:color="auto"/>
        <w:right w:val="none" w:sz="0" w:space="0" w:color="auto"/>
      </w:divBdr>
    </w:div>
    <w:div w:id="109132284">
      <w:bodyDiv w:val="1"/>
      <w:marLeft w:val="0"/>
      <w:marRight w:val="0"/>
      <w:marTop w:val="0"/>
      <w:marBottom w:val="0"/>
      <w:divBdr>
        <w:top w:val="none" w:sz="0" w:space="0" w:color="auto"/>
        <w:left w:val="none" w:sz="0" w:space="0" w:color="auto"/>
        <w:bottom w:val="none" w:sz="0" w:space="0" w:color="auto"/>
        <w:right w:val="none" w:sz="0" w:space="0" w:color="auto"/>
      </w:divBdr>
    </w:div>
    <w:div w:id="209729564">
      <w:bodyDiv w:val="1"/>
      <w:marLeft w:val="0"/>
      <w:marRight w:val="0"/>
      <w:marTop w:val="0"/>
      <w:marBottom w:val="0"/>
      <w:divBdr>
        <w:top w:val="none" w:sz="0" w:space="0" w:color="auto"/>
        <w:left w:val="none" w:sz="0" w:space="0" w:color="auto"/>
        <w:bottom w:val="none" w:sz="0" w:space="0" w:color="auto"/>
        <w:right w:val="none" w:sz="0" w:space="0" w:color="auto"/>
      </w:divBdr>
    </w:div>
    <w:div w:id="337661545">
      <w:bodyDiv w:val="1"/>
      <w:marLeft w:val="0"/>
      <w:marRight w:val="0"/>
      <w:marTop w:val="0"/>
      <w:marBottom w:val="0"/>
      <w:divBdr>
        <w:top w:val="none" w:sz="0" w:space="0" w:color="auto"/>
        <w:left w:val="none" w:sz="0" w:space="0" w:color="auto"/>
        <w:bottom w:val="none" w:sz="0" w:space="0" w:color="auto"/>
        <w:right w:val="none" w:sz="0" w:space="0" w:color="auto"/>
      </w:divBdr>
    </w:div>
    <w:div w:id="594898010">
      <w:bodyDiv w:val="1"/>
      <w:marLeft w:val="0"/>
      <w:marRight w:val="0"/>
      <w:marTop w:val="0"/>
      <w:marBottom w:val="0"/>
      <w:divBdr>
        <w:top w:val="none" w:sz="0" w:space="0" w:color="auto"/>
        <w:left w:val="none" w:sz="0" w:space="0" w:color="auto"/>
        <w:bottom w:val="none" w:sz="0" w:space="0" w:color="auto"/>
        <w:right w:val="none" w:sz="0" w:space="0" w:color="auto"/>
      </w:divBdr>
    </w:div>
    <w:div w:id="634527520">
      <w:bodyDiv w:val="1"/>
      <w:marLeft w:val="0"/>
      <w:marRight w:val="0"/>
      <w:marTop w:val="0"/>
      <w:marBottom w:val="0"/>
      <w:divBdr>
        <w:top w:val="none" w:sz="0" w:space="0" w:color="auto"/>
        <w:left w:val="none" w:sz="0" w:space="0" w:color="auto"/>
        <w:bottom w:val="none" w:sz="0" w:space="0" w:color="auto"/>
        <w:right w:val="none" w:sz="0" w:space="0" w:color="auto"/>
      </w:divBdr>
    </w:div>
    <w:div w:id="642274067">
      <w:bodyDiv w:val="1"/>
      <w:marLeft w:val="0"/>
      <w:marRight w:val="0"/>
      <w:marTop w:val="0"/>
      <w:marBottom w:val="0"/>
      <w:divBdr>
        <w:top w:val="none" w:sz="0" w:space="0" w:color="auto"/>
        <w:left w:val="none" w:sz="0" w:space="0" w:color="auto"/>
        <w:bottom w:val="none" w:sz="0" w:space="0" w:color="auto"/>
        <w:right w:val="none" w:sz="0" w:space="0" w:color="auto"/>
      </w:divBdr>
    </w:div>
    <w:div w:id="746225534">
      <w:bodyDiv w:val="1"/>
      <w:marLeft w:val="0"/>
      <w:marRight w:val="0"/>
      <w:marTop w:val="0"/>
      <w:marBottom w:val="0"/>
      <w:divBdr>
        <w:top w:val="none" w:sz="0" w:space="0" w:color="auto"/>
        <w:left w:val="none" w:sz="0" w:space="0" w:color="auto"/>
        <w:bottom w:val="none" w:sz="0" w:space="0" w:color="auto"/>
        <w:right w:val="none" w:sz="0" w:space="0" w:color="auto"/>
      </w:divBdr>
    </w:div>
    <w:div w:id="767890012">
      <w:bodyDiv w:val="1"/>
      <w:marLeft w:val="0"/>
      <w:marRight w:val="0"/>
      <w:marTop w:val="0"/>
      <w:marBottom w:val="0"/>
      <w:divBdr>
        <w:top w:val="none" w:sz="0" w:space="0" w:color="auto"/>
        <w:left w:val="none" w:sz="0" w:space="0" w:color="auto"/>
        <w:bottom w:val="none" w:sz="0" w:space="0" w:color="auto"/>
        <w:right w:val="none" w:sz="0" w:space="0" w:color="auto"/>
      </w:divBdr>
    </w:div>
    <w:div w:id="775100152">
      <w:bodyDiv w:val="1"/>
      <w:marLeft w:val="0"/>
      <w:marRight w:val="0"/>
      <w:marTop w:val="0"/>
      <w:marBottom w:val="0"/>
      <w:divBdr>
        <w:top w:val="none" w:sz="0" w:space="0" w:color="auto"/>
        <w:left w:val="none" w:sz="0" w:space="0" w:color="auto"/>
        <w:bottom w:val="none" w:sz="0" w:space="0" w:color="auto"/>
        <w:right w:val="none" w:sz="0" w:space="0" w:color="auto"/>
      </w:divBdr>
    </w:div>
    <w:div w:id="991254932">
      <w:bodyDiv w:val="1"/>
      <w:marLeft w:val="0"/>
      <w:marRight w:val="0"/>
      <w:marTop w:val="0"/>
      <w:marBottom w:val="0"/>
      <w:divBdr>
        <w:top w:val="none" w:sz="0" w:space="0" w:color="auto"/>
        <w:left w:val="none" w:sz="0" w:space="0" w:color="auto"/>
        <w:bottom w:val="none" w:sz="0" w:space="0" w:color="auto"/>
        <w:right w:val="none" w:sz="0" w:space="0" w:color="auto"/>
      </w:divBdr>
      <w:divsChild>
        <w:div w:id="1527258195">
          <w:marLeft w:val="0"/>
          <w:marRight w:val="0"/>
          <w:marTop w:val="0"/>
          <w:marBottom w:val="0"/>
          <w:divBdr>
            <w:top w:val="none" w:sz="0" w:space="0" w:color="auto"/>
            <w:left w:val="none" w:sz="0" w:space="0" w:color="auto"/>
            <w:bottom w:val="none" w:sz="0" w:space="0" w:color="auto"/>
            <w:right w:val="none" w:sz="0" w:space="0" w:color="auto"/>
          </w:divBdr>
        </w:div>
      </w:divsChild>
    </w:div>
    <w:div w:id="1040015987">
      <w:bodyDiv w:val="1"/>
      <w:marLeft w:val="0"/>
      <w:marRight w:val="0"/>
      <w:marTop w:val="0"/>
      <w:marBottom w:val="0"/>
      <w:divBdr>
        <w:top w:val="none" w:sz="0" w:space="0" w:color="auto"/>
        <w:left w:val="none" w:sz="0" w:space="0" w:color="auto"/>
        <w:bottom w:val="none" w:sz="0" w:space="0" w:color="auto"/>
        <w:right w:val="none" w:sz="0" w:space="0" w:color="auto"/>
      </w:divBdr>
    </w:div>
    <w:div w:id="1208564449">
      <w:bodyDiv w:val="1"/>
      <w:marLeft w:val="0"/>
      <w:marRight w:val="0"/>
      <w:marTop w:val="0"/>
      <w:marBottom w:val="0"/>
      <w:divBdr>
        <w:top w:val="none" w:sz="0" w:space="0" w:color="auto"/>
        <w:left w:val="none" w:sz="0" w:space="0" w:color="auto"/>
        <w:bottom w:val="none" w:sz="0" w:space="0" w:color="auto"/>
        <w:right w:val="none" w:sz="0" w:space="0" w:color="auto"/>
      </w:divBdr>
      <w:divsChild>
        <w:div w:id="1008797054">
          <w:marLeft w:val="0"/>
          <w:marRight w:val="0"/>
          <w:marTop w:val="0"/>
          <w:marBottom w:val="0"/>
          <w:divBdr>
            <w:top w:val="none" w:sz="0" w:space="0" w:color="auto"/>
            <w:left w:val="none" w:sz="0" w:space="0" w:color="auto"/>
            <w:bottom w:val="none" w:sz="0" w:space="0" w:color="auto"/>
            <w:right w:val="none" w:sz="0" w:space="0" w:color="auto"/>
          </w:divBdr>
          <w:divsChild>
            <w:div w:id="923033902">
              <w:marLeft w:val="0"/>
              <w:marRight w:val="0"/>
              <w:marTop w:val="0"/>
              <w:marBottom w:val="0"/>
              <w:divBdr>
                <w:top w:val="none" w:sz="0" w:space="0" w:color="auto"/>
                <w:left w:val="none" w:sz="0" w:space="0" w:color="auto"/>
                <w:bottom w:val="none" w:sz="0" w:space="0" w:color="auto"/>
                <w:right w:val="none" w:sz="0" w:space="0" w:color="auto"/>
              </w:divBdr>
              <w:divsChild>
                <w:div w:id="1481536291">
                  <w:marLeft w:val="0"/>
                  <w:marRight w:val="0"/>
                  <w:marTop w:val="0"/>
                  <w:marBottom w:val="0"/>
                  <w:divBdr>
                    <w:top w:val="none" w:sz="0" w:space="0" w:color="auto"/>
                    <w:left w:val="none" w:sz="0" w:space="0" w:color="auto"/>
                    <w:bottom w:val="none" w:sz="0" w:space="0" w:color="auto"/>
                    <w:right w:val="none" w:sz="0" w:space="0" w:color="auto"/>
                  </w:divBdr>
                  <w:divsChild>
                    <w:div w:id="1243761621">
                      <w:marLeft w:val="0"/>
                      <w:marRight w:val="0"/>
                      <w:marTop w:val="0"/>
                      <w:marBottom w:val="0"/>
                      <w:divBdr>
                        <w:top w:val="none" w:sz="0" w:space="0" w:color="auto"/>
                        <w:left w:val="none" w:sz="0" w:space="0" w:color="auto"/>
                        <w:bottom w:val="none" w:sz="0" w:space="0" w:color="auto"/>
                        <w:right w:val="none" w:sz="0" w:space="0" w:color="auto"/>
                      </w:divBdr>
                      <w:divsChild>
                        <w:div w:id="1427992462">
                          <w:marLeft w:val="0"/>
                          <w:marRight w:val="0"/>
                          <w:marTop w:val="0"/>
                          <w:marBottom w:val="0"/>
                          <w:divBdr>
                            <w:top w:val="none" w:sz="0" w:space="0" w:color="auto"/>
                            <w:left w:val="none" w:sz="0" w:space="0" w:color="auto"/>
                            <w:bottom w:val="none" w:sz="0" w:space="0" w:color="auto"/>
                            <w:right w:val="none" w:sz="0" w:space="0" w:color="auto"/>
                          </w:divBdr>
                          <w:divsChild>
                            <w:div w:id="1524399669">
                              <w:marLeft w:val="0"/>
                              <w:marRight w:val="0"/>
                              <w:marTop w:val="0"/>
                              <w:marBottom w:val="0"/>
                              <w:divBdr>
                                <w:top w:val="none" w:sz="0" w:space="0" w:color="auto"/>
                                <w:left w:val="none" w:sz="0" w:space="0" w:color="auto"/>
                                <w:bottom w:val="none" w:sz="0" w:space="0" w:color="auto"/>
                                <w:right w:val="none" w:sz="0" w:space="0" w:color="auto"/>
                              </w:divBdr>
                              <w:divsChild>
                                <w:div w:id="84765486">
                                  <w:marLeft w:val="0"/>
                                  <w:marRight w:val="0"/>
                                  <w:marTop w:val="0"/>
                                  <w:marBottom w:val="0"/>
                                  <w:divBdr>
                                    <w:top w:val="none" w:sz="0" w:space="0" w:color="auto"/>
                                    <w:left w:val="none" w:sz="0" w:space="0" w:color="auto"/>
                                    <w:bottom w:val="none" w:sz="0" w:space="0" w:color="auto"/>
                                    <w:right w:val="none" w:sz="0" w:space="0" w:color="auto"/>
                                  </w:divBdr>
                                  <w:divsChild>
                                    <w:div w:id="14026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024173">
      <w:bodyDiv w:val="1"/>
      <w:marLeft w:val="0"/>
      <w:marRight w:val="0"/>
      <w:marTop w:val="0"/>
      <w:marBottom w:val="0"/>
      <w:divBdr>
        <w:top w:val="none" w:sz="0" w:space="0" w:color="auto"/>
        <w:left w:val="none" w:sz="0" w:space="0" w:color="auto"/>
        <w:bottom w:val="none" w:sz="0" w:space="0" w:color="auto"/>
        <w:right w:val="none" w:sz="0" w:space="0" w:color="auto"/>
      </w:divBdr>
    </w:div>
    <w:div w:id="1430006550">
      <w:bodyDiv w:val="1"/>
      <w:marLeft w:val="0"/>
      <w:marRight w:val="0"/>
      <w:marTop w:val="0"/>
      <w:marBottom w:val="0"/>
      <w:divBdr>
        <w:top w:val="none" w:sz="0" w:space="0" w:color="auto"/>
        <w:left w:val="none" w:sz="0" w:space="0" w:color="auto"/>
        <w:bottom w:val="none" w:sz="0" w:space="0" w:color="auto"/>
        <w:right w:val="none" w:sz="0" w:space="0" w:color="auto"/>
      </w:divBdr>
      <w:divsChild>
        <w:div w:id="1868638506">
          <w:marLeft w:val="0"/>
          <w:marRight w:val="0"/>
          <w:marTop w:val="0"/>
          <w:marBottom w:val="0"/>
          <w:divBdr>
            <w:top w:val="none" w:sz="0" w:space="0" w:color="auto"/>
            <w:left w:val="none" w:sz="0" w:space="0" w:color="auto"/>
            <w:bottom w:val="none" w:sz="0" w:space="0" w:color="auto"/>
            <w:right w:val="none" w:sz="0" w:space="0" w:color="auto"/>
          </w:divBdr>
          <w:divsChild>
            <w:div w:id="2069373820">
              <w:marLeft w:val="0"/>
              <w:marRight w:val="0"/>
              <w:marTop w:val="0"/>
              <w:marBottom w:val="0"/>
              <w:divBdr>
                <w:top w:val="none" w:sz="0" w:space="0" w:color="auto"/>
                <w:left w:val="none" w:sz="0" w:space="0" w:color="auto"/>
                <w:bottom w:val="none" w:sz="0" w:space="0" w:color="auto"/>
                <w:right w:val="none" w:sz="0" w:space="0" w:color="auto"/>
              </w:divBdr>
              <w:divsChild>
                <w:div w:id="186260989">
                  <w:marLeft w:val="0"/>
                  <w:marRight w:val="0"/>
                  <w:marTop w:val="0"/>
                  <w:marBottom w:val="0"/>
                  <w:divBdr>
                    <w:top w:val="none" w:sz="0" w:space="0" w:color="auto"/>
                    <w:left w:val="none" w:sz="0" w:space="0" w:color="auto"/>
                    <w:bottom w:val="none" w:sz="0" w:space="0" w:color="auto"/>
                    <w:right w:val="none" w:sz="0" w:space="0" w:color="auto"/>
                  </w:divBdr>
                  <w:divsChild>
                    <w:div w:id="2900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342306">
      <w:bodyDiv w:val="1"/>
      <w:marLeft w:val="0"/>
      <w:marRight w:val="0"/>
      <w:marTop w:val="0"/>
      <w:marBottom w:val="0"/>
      <w:divBdr>
        <w:top w:val="none" w:sz="0" w:space="0" w:color="auto"/>
        <w:left w:val="none" w:sz="0" w:space="0" w:color="auto"/>
        <w:bottom w:val="none" w:sz="0" w:space="0" w:color="auto"/>
        <w:right w:val="none" w:sz="0" w:space="0" w:color="auto"/>
      </w:divBdr>
      <w:divsChild>
        <w:div w:id="518392378">
          <w:marLeft w:val="0"/>
          <w:marRight w:val="0"/>
          <w:marTop w:val="0"/>
          <w:marBottom w:val="0"/>
          <w:divBdr>
            <w:top w:val="none" w:sz="0" w:space="0" w:color="auto"/>
            <w:left w:val="none" w:sz="0" w:space="0" w:color="auto"/>
            <w:bottom w:val="none" w:sz="0" w:space="0" w:color="auto"/>
            <w:right w:val="none" w:sz="0" w:space="0" w:color="auto"/>
          </w:divBdr>
        </w:div>
        <w:div w:id="865144648">
          <w:marLeft w:val="0"/>
          <w:marRight w:val="0"/>
          <w:marTop w:val="0"/>
          <w:marBottom w:val="0"/>
          <w:divBdr>
            <w:top w:val="none" w:sz="0" w:space="0" w:color="auto"/>
            <w:left w:val="none" w:sz="0" w:space="0" w:color="auto"/>
            <w:bottom w:val="none" w:sz="0" w:space="0" w:color="auto"/>
            <w:right w:val="none" w:sz="0" w:space="0" w:color="auto"/>
          </w:divBdr>
          <w:divsChild>
            <w:div w:id="1092968993">
              <w:marLeft w:val="0"/>
              <w:marRight w:val="0"/>
              <w:marTop w:val="0"/>
              <w:marBottom w:val="0"/>
              <w:divBdr>
                <w:top w:val="none" w:sz="0" w:space="0" w:color="auto"/>
                <w:left w:val="none" w:sz="0" w:space="0" w:color="auto"/>
                <w:bottom w:val="none" w:sz="0" w:space="0" w:color="auto"/>
                <w:right w:val="none" w:sz="0" w:space="0" w:color="auto"/>
              </w:divBdr>
              <w:divsChild>
                <w:div w:id="1589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94703">
      <w:bodyDiv w:val="1"/>
      <w:marLeft w:val="0"/>
      <w:marRight w:val="0"/>
      <w:marTop w:val="0"/>
      <w:marBottom w:val="0"/>
      <w:divBdr>
        <w:top w:val="none" w:sz="0" w:space="0" w:color="auto"/>
        <w:left w:val="none" w:sz="0" w:space="0" w:color="auto"/>
        <w:bottom w:val="none" w:sz="0" w:space="0" w:color="auto"/>
        <w:right w:val="none" w:sz="0" w:space="0" w:color="auto"/>
      </w:divBdr>
    </w:div>
    <w:div w:id="1607227001">
      <w:bodyDiv w:val="1"/>
      <w:marLeft w:val="0"/>
      <w:marRight w:val="0"/>
      <w:marTop w:val="0"/>
      <w:marBottom w:val="0"/>
      <w:divBdr>
        <w:top w:val="none" w:sz="0" w:space="0" w:color="auto"/>
        <w:left w:val="none" w:sz="0" w:space="0" w:color="auto"/>
        <w:bottom w:val="none" w:sz="0" w:space="0" w:color="auto"/>
        <w:right w:val="none" w:sz="0" w:space="0" w:color="auto"/>
      </w:divBdr>
    </w:div>
    <w:div w:id="1679772352">
      <w:bodyDiv w:val="1"/>
      <w:marLeft w:val="0"/>
      <w:marRight w:val="0"/>
      <w:marTop w:val="0"/>
      <w:marBottom w:val="0"/>
      <w:divBdr>
        <w:top w:val="none" w:sz="0" w:space="0" w:color="auto"/>
        <w:left w:val="none" w:sz="0" w:space="0" w:color="auto"/>
        <w:bottom w:val="none" w:sz="0" w:space="0" w:color="auto"/>
        <w:right w:val="none" w:sz="0" w:space="0" w:color="auto"/>
      </w:divBdr>
    </w:div>
    <w:div w:id="1724056304">
      <w:bodyDiv w:val="1"/>
      <w:marLeft w:val="0"/>
      <w:marRight w:val="0"/>
      <w:marTop w:val="0"/>
      <w:marBottom w:val="0"/>
      <w:divBdr>
        <w:top w:val="none" w:sz="0" w:space="0" w:color="auto"/>
        <w:left w:val="none" w:sz="0" w:space="0" w:color="auto"/>
        <w:bottom w:val="none" w:sz="0" w:space="0" w:color="auto"/>
        <w:right w:val="none" w:sz="0" w:space="0" w:color="auto"/>
      </w:divBdr>
    </w:div>
    <w:div w:id="1764378179">
      <w:bodyDiv w:val="1"/>
      <w:marLeft w:val="0"/>
      <w:marRight w:val="0"/>
      <w:marTop w:val="0"/>
      <w:marBottom w:val="0"/>
      <w:divBdr>
        <w:top w:val="none" w:sz="0" w:space="0" w:color="auto"/>
        <w:left w:val="none" w:sz="0" w:space="0" w:color="auto"/>
        <w:bottom w:val="none" w:sz="0" w:space="0" w:color="auto"/>
        <w:right w:val="none" w:sz="0" w:space="0" w:color="auto"/>
      </w:divBdr>
    </w:div>
    <w:div w:id="181791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chellaf@tresor.finances.gov.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7B22-9968-4D42-9D67-6A6424D0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8230</Words>
  <Characters>46913</Characters>
  <Application>Microsoft Office Word</Application>
  <DocSecurity>0</DocSecurity>
  <Lines>390</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55033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meric</dc:creator>
  <cp:lastModifiedBy>Romano Rosario Dario</cp:lastModifiedBy>
  <cp:revision>2</cp:revision>
  <cp:lastPrinted>2025-06-05T14:56:00Z</cp:lastPrinted>
  <dcterms:created xsi:type="dcterms:W3CDTF">2025-09-10T12:53:00Z</dcterms:created>
  <dcterms:modified xsi:type="dcterms:W3CDTF">2025-09-10T12:53:00Z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2025-07-01T08:22:00Z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34b4ab28-1d21-425f-a57c-da6b9604ef43</vt:lpwstr>
  </property>
  <property fmtid="{D5CDD505-2E9C-101B-9397-08002B2CF9AE}" pid="8" name="MSIP_Label_6bd9ddd1-4d20-43f6-abfa-fc3c07406f94_ContentBits">
    <vt:lpwstr>0</vt:lpwstr>
  </property>
</Properties>
</file>